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48"/>
        <w:ind w:left="284" w:right="140"/>
        <w:spacing w:before="0" w:beforeAutospacing="0" w:after="0" w:afterAutospacing="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</w:r>
      <w:r>
        <w:rPr>
          <w:b/>
          <w:sz w:val="28"/>
          <w:szCs w:val="28"/>
          <w:lang w:val="en-US"/>
        </w:rPr>
      </w:r>
      <w:r>
        <w:rPr>
          <w:b/>
          <w:sz w:val="28"/>
          <w:szCs w:val="28"/>
          <w:lang w:val="en-US"/>
        </w:rPr>
      </w:r>
    </w:p>
    <w:p>
      <w:pPr>
        <w:pStyle w:val="1148"/>
        <w:ind w:left="284" w:right="140"/>
        <w:spacing w:before="0" w:beforeAutospacing="0" w:after="0" w:afterAutospacing="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</w:r>
      <w:r>
        <w:rPr>
          <w:b/>
          <w:sz w:val="28"/>
          <w:szCs w:val="28"/>
          <w:lang w:val="en-US"/>
        </w:rPr>
      </w:r>
      <w:r>
        <w:rPr>
          <w:b/>
          <w:sz w:val="28"/>
          <w:szCs w:val="28"/>
          <w:lang w:val="en-US"/>
        </w:rPr>
      </w:r>
    </w:p>
    <w:p>
      <w:pPr>
        <w:pStyle w:val="1148"/>
        <w:ind w:left="284" w:right="140"/>
        <w:spacing w:before="0" w:beforeAutospacing="0" w:after="0" w:afterAutospacing="0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</w:r>
      <w:r>
        <w:rPr>
          <w:b/>
          <w:sz w:val="26"/>
          <w:szCs w:val="26"/>
          <w:lang w:val="en-US"/>
        </w:rPr>
      </w:r>
      <w:r>
        <w:rPr>
          <w:b/>
          <w:sz w:val="26"/>
          <w:szCs w:val="26"/>
          <w:lang w:val="en-US"/>
        </w:rPr>
      </w:r>
    </w:p>
    <w:p>
      <w:pPr>
        <w:pStyle w:val="1148"/>
        <w:ind w:left="284" w:right="140"/>
        <w:spacing w:before="0" w:beforeAutospacing="0" w:after="0" w:afterAutospacing="0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</w:r>
      <w:r>
        <w:rPr>
          <w:b/>
          <w:sz w:val="26"/>
          <w:szCs w:val="26"/>
          <w:lang w:val="en-US"/>
        </w:rPr>
      </w:r>
      <w:r>
        <w:rPr>
          <w:b/>
          <w:sz w:val="26"/>
          <w:szCs w:val="26"/>
          <w:lang w:val="en-US"/>
        </w:rPr>
      </w:r>
    </w:p>
    <w:p>
      <w:pPr>
        <w:pStyle w:val="1140"/>
        <w:ind w:right="-2"/>
        <w:jc w:val="center"/>
        <w:spacing w:before="0" w:after="0"/>
        <w:rPr>
          <w:rFonts w:ascii="Times New Roman" w:hAnsi="Times New Roman" w:eastAsia="Calibri"/>
          <w:i w:val="0"/>
          <w:sz w:val="26"/>
          <w:szCs w:val="26"/>
        </w:rPr>
      </w:pPr>
      <w:r/>
      <w:bookmarkStart w:id="0" w:name="_Toc40198565"/>
      <w:r/>
      <w:bookmarkStart w:id="1" w:name="_Toc42527160"/>
      <w:r>
        <w:rPr>
          <w:rFonts w:ascii="Times New Roman" w:hAnsi="Times New Roman" w:eastAsia="Calibri"/>
          <w:i w:val="0"/>
          <w:sz w:val="26"/>
          <w:szCs w:val="26"/>
        </w:rPr>
        <w:t xml:space="preserve">Приглашение к участию в закупке способом сравнение цен.</w:t>
      </w:r>
      <w:bookmarkEnd w:id="0"/>
      <w:r/>
      <w:bookmarkEnd w:id="1"/>
      <w:r>
        <w:rPr>
          <w:rFonts w:ascii="Times New Roman" w:hAnsi="Times New Roman" w:eastAsia="Calibri"/>
          <w:i w:val="0"/>
          <w:sz w:val="26"/>
          <w:szCs w:val="26"/>
        </w:rPr>
      </w:r>
      <w:r>
        <w:rPr>
          <w:rFonts w:ascii="Times New Roman" w:hAnsi="Times New Roman" w:eastAsia="Calibri"/>
          <w:i w:val="0"/>
          <w:sz w:val="26"/>
          <w:szCs w:val="26"/>
        </w:rPr>
      </w:r>
    </w:p>
    <w:p>
      <w:r/>
      <w:r/>
    </w:p>
    <w:p>
      <w:pPr>
        <w:pStyle w:val="1139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spacing w:val="-2"/>
          <w:sz w:val="26"/>
          <w:szCs w:val="26"/>
        </w:rPr>
      </w:pPr>
      <w:r/>
      <w:bookmarkStart w:id="2" w:name="_Ref119427085"/>
      <w:r>
        <w:rPr>
          <w:sz w:val="26"/>
          <w:szCs w:val="26"/>
        </w:rPr>
        <w:t xml:space="preserve">Публичное акционерное общество «</w:t>
      </w:r>
      <w:r>
        <w:rPr>
          <w:rFonts w:cs="Segoe UI"/>
          <w:color w:val="262626"/>
          <w:sz w:val="26"/>
          <w:szCs w:val="26"/>
        </w:rPr>
        <w:t xml:space="preserve">Россети Московский регион</w:t>
      </w:r>
      <w:r>
        <w:rPr>
          <w:sz w:val="26"/>
          <w:szCs w:val="26"/>
        </w:rPr>
        <w:t xml:space="preserve">» (далее - «Россети Мос</w:t>
      </w:r>
      <w:r>
        <w:rPr>
          <w:sz w:val="26"/>
          <w:szCs w:val="26"/>
        </w:rPr>
        <w:t xml:space="preserve">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  <w:sz w:val="26"/>
          <w:szCs w:val="26"/>
        </w:rPr>
        <w:t xml:space="preserve">принять участие в процедуре Закупки с целью определения наилучшей заявки и заключения договора на </w:t>
      </w:r>
      <w:r>
        <w:rPr>
          <w:spacing w:val="-2"/>
          <w:sz w:val="26"/>
          <w:szCs w:val="26"/>
        </w:rPr>
        <w:t xml:space="preserve">поставку кабельных </w:t>
      </w:r>
      <w:r>
        <w:rPr>
          <w:spacing w:val="-2"/>
          <w:sz w:val="26"/>
          <w:szCs w:val="26"/>
        </w:rPr>
        <w:t xml:space="preserve">муфт на напряжение 35 кВ</w:t>
      </w:r>
      <w:r>
        <w:rPr>
          <w:spacing w:val="-2"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 xml:space="preserve">с лицом её подавшим</w:t>
      </w:r>
      <w:r>
        <w:rPr>
          <w:spacing w:val="-2"/>
          <w:sz w:val="26"/>
          <w:szCs w:val="26"/>
        </w:rPr>
        <w:t xml:space="preserve">.</w:t>
      </w:r>
      <w:r>
        <w:rPr>
          <w:spacing w:val="-2"/>
          <w:sz w:val="26"/>
          <w:szCs w:val="26"/>
        </w:rPr>
      </w:r>
      <w:r>
        <w:rPr>
          <w:spacing w:val="-2"/>
          <w:sz w:val="26"/>
          <w:szCs w:val="26"/>
        </w:rPr>
      </w:r>
    </w:p>
    <w:p>
      <w:pPr>
        <w:pStyle w:val="1139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</w:t>
      </w:r>
      <w:r>
        <w:rPr>
          <w:sz w:val="26"/>
          <w:szCs w:val="26"/>
        </w:rPr>
        <w:t xml:space="preserve">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  <w:sz w:val="26"/>
          <w:szCs w:val="26"/>
        </w:rPr>
        <w:t xml:space="preserve">Единого стандарта закупок Публичного акционерного общества «Федеральная сетевая компания - Россети» </w:t>
      </w:r>
      <w:r>
        <w:rPr>
          <w:sz w:val="26"/>
          <w:szCs w:val="26"/>
        </w:rPr>
        <w:t xml:space="preserve">(далее - Стандарт, Положение о закупке), утвержденного решением Совета Директоров ПАО «</w:t>
      </w:r>
      <w:r>
        <w:rPr>
          <w:rFonts w:cs="Segoe UI"/>
          <w:sz w:val="26"/>
          <w:szCs w:val="26"/>
        </w:rPr>
        <w:t xml:space="preserve">Россети Московский регион</w:t>
      </w:r>
      <w:r>
        <w:rPr>
          <w:sz w:val="26"/>
          <w:szCs w:val="26"/>
        </w:rPr>
        <w:t xml:space="preserve">» (протокол от 03.02.2023 №536).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Потенци</w:t>
      </w:r>
      <w:r>
        <w:rPr>
          <w:sz w:val="26"/>
          <w:szCs w:val="26"/>
        </w:rPr>
        <w:t xml:space="preserve">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</w:t>
      </w:r>
      <w:r>
        <w:rPr>
          <w:sz w:val="26"/>
          <w:szCs w:val="26"/>
        </w:rPr>
        <w:t xml:space="preserve">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Закупка способом сравнение цен относится к неконкурентным способам закупок.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b/>
          <w:i/>
          <w:spacing w:val="-2"/>
          <w:sz w:val="26"/>
          <w:szCs w:val="26"/>
        </w:rPr>
      </w:pPr>
      <w:r/>
      <w:bookmarkEnd w:id="2"/>
      <w:r>
        <w:rPr>
          <w:b/>
          <w:i/>
          <w:spacing w:val="-2"/>
          <w:sz w:val="26"/>
          <w:szCs w:val="26"/>
        </w:rPr>
      </w:r>
      <w:r>
        <w:rPr>
          <w:b/>
          <w:i/>
          <w:spacing w:val="-2"/>
          <w:sz w:val="26"/>
          <w:szCs w:val="26"/>
        </w:rPr>
      </w:r>
    </w:p>
    <w:p>
      <w:pPr>
        <w:pStyle w:val="1139"/>
        <w:numPr>
          <w:ilvl w:val="0"/>
          <w:numId w:val="1"/>
        </w:numPr>
        <w:ind w:left="0" w:firstLine="567"/>
        <w:tabs>
          <w:tab w:val="left" w:pos="142" w:leader="none"/>
          <w:tab w:val="center" w:pos="1134" w:leader="none"/>
        </w:tabs>
        <w:rPr>
          <w:sz w:val="26"/>
          <w:szCs w:val="26"/>
        </w:rPr>
        <w:outlineLvl w:val="0"/>
      </w:pPr>
      <w:r>
        <w:rPr>
          <w:sz w:val="26"/>
          <w:szCs w:val="26"/>
        </w:rPr>
        <w:t xml:space="preserve">ИНФОРМАЦИЯ О ЗАКУПКЕ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  <w:sz w:val="26"/>
          <w:szCs w:val="26"/>
        </w:rPr>
        <w:outlineLvl w:val="1"/>
      </w:pPr>
      <w:r>
        <w:rPr>
          <w:b/>
          <w:sz w:val="26"/>
          <w:szCs w:val="26"/>
        </w:rPr>
        <w:t xml:space="preserve">Общая  информация о закупке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1139"/>
        <w:ind w:firstLine="567"/>
        <w:jc w:val="both"/>
        <w:tabs>
          <w:tab w:val="left" w:pos="142" w:leader="none"/>
          <w:tab w:val="center" w:pos="1134" w:leader="none"/>
        </w:tabs>
        <w:rPr>
          <w:i/>
          <w:sz w:val="26"/>
          <w:szCs w:val="26"/>
        </w:rPr>
      </w:pPr>
      <w:r>
        <w:rPr>
          <w:bCs/>
          <w:sz w:val="26"/>
          <w:szCs w:val="26"/>
        </w:rPr>
        <w:t xml:space="preserve">Закупка способом сравнение цен</w:t>
      </w:r>
      <w:r>
        <w:rPr>
          <w:sz w:val="26"/>
          <w:szCs w:val="26"/>
        </w:rPr>
        <w:t xml:space="preserve"> проводится: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электронной форме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1139"/>
        <w:ind w:firstLine="567"/>
        <w:jc w:val="both"/>
        <w:tabs>
          <w:tab w:val="left" w:pos="142" w:leader="none"/>
          <w:tab w:val="center" w:pos="1134" w:leader="none"/>
        </w:tabs>
        <w:rPr>
          <w:i/>
          <w:sz w:val="26"/>
          <w:szCs w:val="26"/>
        </w:rPr>
      </w:pPr>
      <w:r>
        <w:rPr>
          <w:sz w:val="26"/>
          <w:szCs w:val="26"/>
        </w:rPr>
        <w:t xml:space="preserve">Ограничение участия только субъектом малого и среднего предпринимательства:</w:t>
      </w:r>
      <w:r>
        <w:rPr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не</w:t>
      </w:r>
      <w:r>
        <w:rPr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установлено</w:t>
      </w:r>
      <w:r>
        <w:rPr>
          <w:i/>
          <w:sz w:val="26"/>
          <w:szCs w:val="26"/>
        </w:rPr>
        <w:t xml:space="preserve">.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1139"/>
        <w:ind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Опубликовано на электронной торговой площадке: </w:t>
      </w:r>
      <w:r>
        <w:rPr>
          <w:sz w:val="26"/>
          <w:szCs w:val="26"/>
          <w:lang w:val="en-US"/>
        </w:rPr>
        <w:t xml:space="preserve">www</w:t>
      </w:r>
      <w:r>
        <w:rPr>
          <w:sz w:val="26"/>
          <w:szCs w:val="26"/>
        </w:rPr>
        <w:t xml:space="preserve">/</w:t>
      </w:r>
      <w:r>
        <w:rPr>
          <w:sz w:val="26"/>
          <w:szCs w:val="26"/>
          <w:lang w:val="en-US"/>
        </w:rPr>
        <w:t xml:space="preserve">tender</w:t>
      </w:r>
      <w:r>
        <w:rPr>
          <w:sz w:val="26"/>
          <w:szCs w:val="26"/>
        </w:rPr>
        <w:t xml:space="preserve">/</w:t>
      </w:r>
      <w:r>
        <w:rPr>
          <w:sz w:val="26"/>
          <w:szCs w:val="26"/>
          <w:lang w:val="en-US"/>
        </w:rPr>
        <w:t xml:space="preserve">lot</w:t>
      </w:r>
      <w:r>
        <w:rPr>
          <w:sz w:val="26"/>
          <w:szCs w:val="26"/>
        </w:rPr>
        <w:t xml:space="preserve">-</w:t>
      </w:r>
      <w:r>
        <w:rPr>
          <w:sz w:val="26"/>
          <w:szCs w:val="26"/>
          <w:lang w:val="en-US"/>
        </w:rPr>
        <w:t xml:space="preserve">online</w:t>
      </w:r>
      <w:r>
        <w:rPr>
          <w:sz w:val="26"/>
          <w:szCs w:val="26"/>
        </w:rPr>
        <w:t xml:space="preserve">.</w:t>
      </w:r>
      <w:r>
        <w:rPr>
          <w:sz w:val="26"/>
          <w:szCs w:val="26"/>
          <w:lang w:val="en-US"/>
        </w:rPr>
        <w:t xml:space="preserve">ru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firstLine="567"/>
        <w:jc w:val="both"/>
        <w:tabs>
          <w:tab w:val="left" w:pos="142" w:leader="none"/>
          <w:tab w:val="center" w:pos="1134" w:leader="none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1.2. </w:t>
      </w:r>
      <w:r>
        <w:rPr>
          <w:b/>
          <w:sz w:val="26"/>
          <w:szCs w:val="26"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1139"/>
        <w:ind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Наименование Заказчика: ПАО «</w:t>
      </w:r>
      <w:r>
        <w:rPr>
          <w:rFonts w:cs="Segoe UI"/>
          <w:color w:val="262626"/>
          <w:sz w:val="26"/>
          <w:szCs w:val="26"/>
        </w:rPr>
        <w:t xml:space="preserve">Россети Московский регион</w:t>
      </w:r>
      <w:r>
        <w:rPr>
          <w:sz w:val="26"/>
          <w:szCs w:val="26"/>
        </w:rPr>
        <w:t xml:space="preserve">» - Южные электрические сети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left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Место нахождения и почтовый адрес Заказчика (Организатора): </w:t>
      </w:r>
      <w:r>
        <w:rPr>
          <w:color w:val="000000"/>
          <w:sz w:val="26"/>
          <w:szCs w:val="26"/>
        </w:rPr>
        <w:t xml:space="preserve">142117, РФ, Московская обл</w:t>
      </w:r>
      <w:r>
        <w:rPr>
          <w:color w:val="000000"/>
          <w:sz w:val="26"/>
          <w:szCs w:val="26"/>
        </w:rPr>
        <w:t xml:space="preserve">асть, город Подольск, улица Кирова, дом 65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firstLine="567"/>
        <w:rPr>
          <w:color w:val="000000"/>
          <w:sz w:val="26"/>
          <w:szCs w:val="26"/>
        </w:rPr>
      </w:pPr>
      <w:r>
        <w:rPr>
          <w:sz w:val="26"/>
          <w:szCs w:val="26"/>
          <w:lang w:val="en-US"/>
        </w:rPr>
        <w:t xml:space="preserve">E</w:t>
      </w:r>
      <w:r>
        <w:rPr>
          <w:sz w:val="26"/>
          <w:szCs w:val="26"/>
        </w:rPr>
        <w:t xml:space="preserve">-</w:t>
      </w:r>
      <w:r>
        <w:rPr>
          <w:sz w:val="26"/>
          <w:szCs w:val="26"/>
          <w:lang w:val="en-US"/>
        </w:rPr>
        <w:t xml:space="preserve">mail</w:t>
      </w:r>
      <w:r>
        <w:rPr>
          <w:sz w:val="26"/>
          <w:szCs w:val="26"/>
        </w:rPr>
        <w:t xml:space="preserve">:</w:t>
      </w:r>
      <w:r>
        <w:rPr>
          <w:sz w:val="26"/>
          <w:szCs w:val="26"/>
          <w:lang w:val="en-US"/>
        </w:rPr>
        <w:t xml:space="preserve">UES</w:t>
      </w:r>
      <w:r>
        <w:rPr>
          <w:sz w:val="26"/>
          <w:szCs w:val="26"/>
        </w:rPr>
        <w:t xml:space="preserve">@</w:t>
      </w:r>
      <w:r>
        <w:rPr>
          <w:sz w:val="26"/>
          <w:szCs w:val="26"/>
          <w:lang w:val="en-US"/>
        </w:rPr>
        <w:t xml:space="preserve">rossetimr</w:t>
      </w:r>
      <w:r>
        <w:rPr>
          <w:sz w:val="26"/>
          <w:szCs w:val="26"/>
        </w:rPr>
        <w:t xml:space="preserve">.</w:t>
      </w:r>
      <w:r>
        <w:rPr>
          <w:sz w:val="26"/>
          <w:szCs w:val="26"/>
          <w:lang w:val="en-US"/>
        </w:rPr>
        <w:t xml:space="preserve">ru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1139"/>
        <w:ind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Тел.: </w:t>
      </w:r>
      <w:r>
        <w:rPr>
          <w:sz w:val="26"/>
          <w:szCs w:val="26"/>
        </w:rPr>
        <w:t xml:space="preserve">+7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(</w:t>
      </w:r>
      <w:r>
        <w:rPr>
          <w:color w:val="000000"/>
          <w:sz w:val="26"/>
          <w:szCs w:val="26"/>
        </w:rPr>
        <w:t xml:space="preserve">496</w:t>
      </w:r>
      <w:r>
        <w:rPr>
          <w:color w:val="000000"/>
          <w:sz w:val="26"/>
          <w:szCs w:val="26"/>
        </w:rPr>
        <w:t xml:space="preserve">)</w:t>
      </w:r>
      <w:r>
        <w:rPr>
          <w:color w:val="000000"/>
          <w:sz w:val="26"/>
          <w:szCs w:val="26"/>
        </w:rPr>
        <w:t xml:space="preserve">765-71-24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Контактное лицо Заказчика: </w:t>
      </w:r>
      <w:r>
        <w:rPr>
          <w:i/>
          <w:sz w:val="26"/>
          <w:szCs w:val="26"/>
        </w:rPr>
        <w:t xml:space="preserve">Цветкова Ольга Егоровна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firstLine="567"/>
        <w:jc w:val="both"/>
        <w:tabs>
          <w:tab w:val="left" w:pos="142" w:leader="none"/>
          <w:tab w:val="center" w:pos="1134" w:leader="none"/>
        </w:tabs>
        <w:rPr>
          <w:i/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E-mail: </w:t>
      </w:r>
      <w:r>
        <w:rPr>
          <w:i/>
          <w:sz w:val="26"/>
          <w:szCs w:val="26"/>
          <w:lang w:val="en-US"/>
        </w:rPr>
        <w:t xml:space="preserve">tsvetkova-oe@rossetimr.ru</w:t>
      </w:r>
      <w:r>
        <w:rPr>
          <w:i/>
          <w:sz w:val="26"/>
          <w:szCs w:val="26"/>
          <w:lang w:val="en-US"/>
        </w:rPr>
      </w:r>
      <w:r>
        <w:rPr>
          <w:i/>
          <w:sz w:val="26"/>
          <w:szCs w:val="26"/>
          <w:lang w:val="en-US"/>
        </w:rPr>
      </w:r>
    </w:p>
    <w:p>
      <w:pPr>
        <w:pStyle w:val="1139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i/>
          <w:sz w:val="26"/>
          <w:szCs w:val="26"/>
          <w:lang w:val="en-US"/>
        </w:rPr>
      </w:pPr>
      <w:r>
        <w:rPr>
          <w:sz w:val="26"/>
          <w:szCs w:val="26"/>
        </w:rPr>
        <w:t xml:space="preserve">Тел</w:t>
      </w:r>
      <w:r>
        <w:rPr>
          <w:i/>
          <w:sz w:val="26"/>
          <w:szCs w:val="26"/>
          <w:lang w:val="en-US"/>
        </w:rPr>
        <w:t xml:space="preserve">.: +7(496</w:t>
      </w:r>
      <w:r>
        <w:rPr>
          <w:i/>
          <w:sz w:val="26"/>
          <w:szCs w:val="26"/>
          <w:lang w:val="en-US"/>
        </w:rPr>
        <w:t xml:space="preserve">) 765</w:t>
      </w:r>
      <w:r>
        <w:rPr>
          <w:i/>
          <w:sz w:val="26"/>
          <w:szCs w:val="26"/>
          <w:lang w:val="en-US"/>
        </w:rPr>
        <w:t xml:space="preserve">-28</w:t>
      </w:r>
      <w:r>
        <w:rPr>
          <w:i/>
          <w:sz w:val="26"/>
          <w:szCs w:val="26"/>
          <w:lang w:val="en-US"/>
        </w:rPr>
        <w:t xml:space="preserve">-</w:t>
      </w:r>
      <w:r>
        <w:rPr>
          <w:i/>
          <w:sz w:val="26"/>
          <w:szCs w:val="26"/>
          <w:lang w:val="en-US"/>
        </w:rPr>
        <w:t xml:space="preserve">78</w:t>
      </w:r>
      <w:r>
        <w:rPr>
          <w:i/>
          <w:sz w:val="26"/>
          <w:szCs w:val="26"/>
          <w:lang w:val="en-US"/>
        </w:rPr>
      </w:r>
      <w:r>
        <w:rPr>
          <w:i/>
          <w:sz w:val="26"/>
          <w:szCs w:val="26"/>
          <w:lang w:val="en-US"/>
        </w:rPr>
      </w:r>
    </w:p>
    <w:p>
      <w:pPr>
        <w:pStyle w:val="1139"/>
        <w:ind w:left="142"/>
        <w:jc w:val="both"/>
        <w:keepNext/>
        <w:tabs>
          <w:tab w:val="left" w:pos="142" w:leader="none"/>
          <w:tab w:val="center" w:pos="1134" w:leader="none"/>
        </w:tabs>
        <w:rPr>
          <w:b/>
          <w:sz w:val="26"/>
          <w:szCs w:val="26"/>
        </w:rPr>
        <w:outlineLvl w:val="1"/>
      </w:pPr>
      <w:r>
        <w:rPr>
          <w:b/>
          <w:sz w:val="26"/>
          <w:szCs w:val="26"/>
          <w:lang w:val="en-US"/>
        </w:rPr>
        <w:t xml:space="preserve">    </w:t>
      </w:r>
      <w:r>
        <w:rPr>
          <w:b/>
          <w:sz w:val="26"/>
          <w:szCs w:val="26"/>
        </w:rPr>
        <w:t xml:space="preserve">1.3. </w:t>
      </w:r>
      <w:r>
        <w:rPr>
          <w:b/>
          <w:sz w:val="26"/>
          <w:szCs w:val="26"/>
        </w:rPr>
        <w:t xml:space="preserve">Предмет договора с указанием места и количества поставляемого товара, объема выполняемой работы, оказываемой услуги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1139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i/>
          <w:color w:val="000000"/>
          <w:spacing w:val="-2"/>
          <w:sz w:val="26"/>
          <w:szCs w:val="26"/>
        </w:rPr>
      </w:pPr>
      <w:r>
        <w:rPr>
          <w:i/>
          <w:spacing w:val="-2"/>
          <w:sz w:val="26"/>
          <w:szCs w:val="26"/>
        </w:rPr>
        <w:t xml:space="preserve">Право заключения договора на </w:t>
      </w:r>
      <w:r>
        <w:rPr>
          <w:i/>
          <w:spacing w:val="-2"/>
          <w:sz w:val="26"/>
          <w:szCs w:val="26"/>
        </w:rPr>
        <w:t xml:space="preserve">поставку</w:t>
      </w:r>
      <w:r>
        <w:rPr>
          <w:i/>
          <w:spacing w:val="-2"/>
          <w:sz w:val="26"/>
          <w:szCs w:val="26"/>
        </w:rPr>
        <w:t xml:space="preserve"> кабельных </w:t>
      </w:r>
      <w:r>
        <w:rPr>
          <w:i/>
          <w:spacing w:val="-2"/>
          <w:sz w:val="26"/>
          <w:szCs w:val="26"/>
        </w:rPr>
        <w:t xml:space="preserve">муфт на напряжение 35 кВ</w:t>
      </w:r>
      <w:r>
        <w:rPr>
          <w:i/>
          <w:spacing w:val="-2"/>
          <w:sz w:val="26"/>
          <w:szCs w:val="26"/>
        </w:rPr>
        <w:t xml:space="preserve"> </w:t>
      </w:r>
      <w:r>
        <w:rPr>
          <w:i/>
          <w:spacing w:val="-2"/>
          <w:sz w:val="26"/>
          <w:szCs w:val="26"/>
        </w:rPr>
        <w:t xml:space="preserve">для нужд ПАО «Россети Московский регион» </w:t>
      </w:r>
      <w:r>
        <w:rPr>
          <w:i/>
          <w:spacing w:val="-2"/>
          <w:sz w:val="26"/>
          <w:szCs w:val="26"/>
        </w:rPr>
        <w:t xml:space="preserve">- Южные электрические сети, согласно кодам ОКПД2:</w:t>
      </w:r>
      <w:r>
        <w:rPr>
          <w:i/>
          <w:color w:val="000000"/>
          <w:sz w:val="26"/>
          <w:szCs w:val="26"/>
        </w:rPr>
        <w:t xml:space="preserve"> </w:t>
      </w:r>
      <w:r>
        <w:rPr>
          <w:i/>
          <w:color w:val="000000"/>
          <w:sz w:val="26"/>
          <w:szCs w:val="26"/>
        </w:rPr>
        <w:t xml:space="preserve">27.</w:t>
      </w:r>
      <w:r>
        <w:rPr>
          <w:rFonts w:ascii="Times New Roman" w:hAnsi="Times New Roman" w:eastAsia="Times New Roman" w:cs="Times New Roman"/>
          <w:b w:val="0"/>
          <w:bCs w:val="0"/>
          <w:i/>
          <w:color w:val="000000"/>
          <w:sz w:val="26"/>
          <w:szCs w:val="26"/>
        </w:rPr>
        <w:t xml:space="preserve">33</w:t>
      </w:r>
      <w:r>
        <w:rPr>
          <w:rFonts w:ascii="Times New Roman" w:hAnsi="Times New Roman" w:eastAsia="Times New Roman" w:cs="Times New Roman"/>
          <w:b w:val="0"/>
          <w:bCs w:val="0"/>
          <w:i/>
          <w:color w:val="000000"/>
          <w:sz w:val="26"/>
          <w:szCs w:val="26"/>
        </w:rPr>
        <w:t xml:space="preserve">.1</w:t>
      </w:r>
      <w:r>
        <w:rPr>
          <w:rFonts w:ascii="Times New Roman" w:hAnsi="Times New Roman" w:eastAsia="Times New Roman" w:cs="Times New Roman"/>
          <w:b w:val="0"/>
          <w:bCs w:val="0"/>
          <w:i/>
          <w:color w:val="000000"/>
          <w:sz w:val="26"/>
          <w:szCs w:val="26"/>
        </w:rPr>
        <w:t xml:space="preserve">4</w:t>
      </w:r>
      <w:r>
        <w:rPr>
          <w:i/>
          <w:color w:val="000000"/>
          <w:sz w:val="26"/>
          <w:szCs w:val="26"/>
        </w:rPr>
        <w:t xml:space="preserve">.</w:t>
      </w:r>
      <w:r>
        <w:rPr>
          <w:i/>
          <w:color w:val="000000"/>
          <w:sz w:val="26"/>
          <w:szCs w:val="26"/>
        </w:rPr>
        <w:t xml:space="preserve">000</w:t>
      </w:r>
      <w:r>
        <w:rPr>
          <w:i/>
          <w:color w:val="000000"/>
          <w:spacing w:val="-2"/>
          <w:sz w:val="26"/>
          <w:szCs w:val="26"/>
        </w:rPr>
      </w:r>
      <w:r>
        <w:rPr>
          <w:i/>
          <w:color w:val="000000"/>
          <w:spacing w:val="-2"/>
          <w:sz w:val="26"/>
          <w:szCs w:val="26"/>
        </w:rPr>
      </w:r>
    </w:p>
    <w:p>
      <w:pPr>
        <w:pStyle w:val="1139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Более подробн</w:t>
      </w:r>
      <w:r>
        <w:rPr>
          <w:sz w:val="26"/>
          <w:szCs w:val="26"/>
        </w:rPr>
        <w:t xml:space="preserve">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>
        <w:rPr>
          <w:color w:val="000000"/>
          <w:sz w:val="26"/>
          <w:szCs w:val="26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>
        <w:rPr>
          <w:sz w:val="26"/>
          <w:szCs w:val="26"/>
        </w:rPr>
        <w:t xml:space="preserve"> неотъемлемой частью настоящего Приглашения.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left="142" w:right="0" w:firstLine="283"/>
        <w:jc w:val="both"/>
        <w:keepNext/>
        <w:tabs>
          <w:tab w:val="left" w:pos="142" w:leader="none"/>
          <w:tab w:val="center" w:pos="1134" w:leader="none"/>
        </w:tabs>
        <w:rPr>
          <w:rFonts w:eastAsia="Calibri"/>
          <w:sz w:val="26"/>
          <w:szCs w:val="26"/>
        </w:rPr>
        <w:outlineLvl w:val="1"/>
      </w:pPr>
      <w:r>
        <w:rPr>
          <w:b/>
          <w:sz w:val="26"/>
          <w:szCs w:val="26"/>
        </w:rPr>
        <w:t xml:space="preserve">1.4. </w:t>
      </w:r>
      <w:r>
        <w:rPr>
          <w:b/>
          <w:sz w:val="26"/>
          <w:szCs w:val="26"/>
        </w:rPr>
        <w:t xml:space="preserve">Сведения о начальной (максимальной) цене договора (цена лота)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1139"/>
        <w:ind w:firstLine="567"/>
        <w:jc w:val="both"/>
      </w:pPr>
      <w:r>
        <w:rPr>
          <w:b/>
        </w:rPr>
        <w:t xml:space="preserve">Начальная (максимальная) цена договора составляет  </w:t>
        <w:br w:type="textWrapping" w:clear="all"/>
        <w:t xml:space="preserve">469 478</w:t>
      </w:r>
      <w:r>
        <w:rPr>
          <w:b/>
          <w:u w:val="single"/>
        </w:rPr>
        <w:t xml:space="preserve">,</w:t>
      </w:r>
      <w:r>
        <w:rPr>
          <w:b/>
          <w:u w:val="single"/>
        </w:rPr>
        <w:t xml:space="preserve"> 45</w:t>
      </w:r>
      <w:r>
        <w:rPr>
          <w:b/>
          <w:u w:val="single"/>
        </w:rPr>
        <w:t xml:space="preserve"> </w:t>
      </w:r>
      <w:r>
        <w:rPr>
          <w:b/>
          <w:u w:val="single"/>
        </w:rPr>
        <w:t xml:space="preserve">(четыреста шестьдесят девять </w:t>
      </w:r>
      <w:r>
        <w:rPr>
          <w:b/>
          <w:u w:val="single"/>
        </w:rPr>
        <w:t xml:space="preserve">тысяч</w:t>
      </w:r>
      <w:r>
        <w:rPr>
          <w:b/>
          <w:u w:val="single"/>
        </w:rPr>
        <w:t xml:space="preserve"> </w:t>
      </w:r>
      <w:r>
        <w:rPr>
          <w:b/>
          <w:u w:val="single"/>
        </w:rPr>
        <w:t xml:space="preserve">четыреста семьдесят восемь</w:t>
      </w:r>
      <w:r>
        <w:rPr>
          <w:b/>
          <w:u w:val="single"/>
        </w:rPr>
        <w:t xml:space="preserve">)</w:t>
      </w:r>
      <w:r>
        <w:rPr>
          <w:b/>
          <w:u w:val="single"/>
        </w:rPr>
        <w:t xml:space="preserve">__руб.</w:t>
      </w:r>
      <w:r>
        <w:rPr>
          <w:b/>
          <w:u w:val="single"/>
        </w:rPr>
        <w:t xml:space="preserve"> 45</w:t>
      </w:r>
      <w:r>
        <w:rPr>
          <w:b/>
          <w:u w:val="single"/>
        </w:rPr>
        <w:t xml:space="preserve"> коп.</w:t>
      </w:r>
      <w:r>
        <w:rPr>
          <w:b/>
          <w:u w:val="single"/>
        </w:rPr>
        <w:t xml:space="preserve">, в т.ч. НДС </w:t>
      </w:r>
      <w:r>
        <w:rPr>
          <w:b/>
          <w:u w:val="single"/>
        </w:rPr>
        <w:t xml:space="preserve">2</w:t>
      </w:r>
      <w:r>
        <w:rPr>
          <w:b/>
          <w:u w:val="single"/>
        </w:rPr>
        <w:t xml:space="preserve">2</w:t>
      </w:r>
      <w:r>
        <w:rPr>
          <w:b/>
          <w:u w:val="single"/>
        </w:rPr>
        <w:t xml:space="preserve"> %,</w:t>
      </w:r>
      <w:r>
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</w:r>
      <w:r/>
    </w:p>
    <w:p>
      <w:pPr>
        <w:pStyle w:val="1139"/>
        <w:ind w:firstLine="567"/>
        <w:jc w:val="both"/>
        <w:rPr>
          <w:b/>
        </w:rPr>
      </w:pPr>
      <w:r>
        <w:rPr>
          <w:b/>
        </w:rPr>
        <w:t xml:space="preserve">Цена неизменна.</w:t>
      </w:r>
      <w:r>
        <w:t xml:space="preserve"> </w:t>
      </w:r>
      <w:r>
        <w:t xml:space="preserve">НМЦ закупки не может быть снижена в заявке Участника закупки, снижение применяется только к стоимости единичных расценок </w:t>
      </w:r>
      <w:r>
        <w:rPr>
          <w:i/>
        </w:rPr>
        <w:t xml:space="preserve">[указывается при неизменной НМЦ].</w:t>
      </w:r>
      <w:r>
        <w:rPr>
          <w:b/>
        </w:rPr>
      </w:r>
      <w:r>
        <w:rPr>
          <w:b/>
        </w:rPr>
      </w:r>
    </w:p>
    <w:p>
      <w:pPr>
        <w:pStyle w:val="1139"/>
        <w:ind w:left="0" w:right="0" w:firstLine="425"/>
        <w:jc w:val="both"/>
        <w:keepNext/>
        <w:tabs>
          <w:tab w:val="center" w:pos="1134" w:leader="none"/>
        </w:tabs>
        <w:rPr>
          <w:b/>
          <w:sz w:val="26"/>
          <w:szCs w:val="26"/>
        </w:rPr>
        <w:outlineLvl w:val="1"/>
      </w:pPr>
      <w:r>
        <w:rPr>
          <w:b/>
          <w:sz w:val="26"/>
          <w:szCs w:val="26"/>
        </w:rPr>
        <w:t xml:space="preserve">1.5. </w:t>
      </w:r>
      <w:r>
        <w:rPr>
          <w:b/>
          <w:sz w:val="26"/>
          <w:szCs w:val="26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1151"/>
        <w:ind w:left="426"/>
        <w:jc w:val="both"/>
        <w:tabs>
          <w:tab w:val="left" w:pos="142" w:leader="none"/>
          <w:tab w:val="center" w:pos="1134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1.5.1.</w:t>
      </w:r>
      <w:r>
        <w:rPr>
          <w:color w:val="000000"/>
          <w:sz w:val="26"/>
          <w:szCs w:val="26"/>
        </w:rPr>
        <w:t xml:space="preserve">Порядок подачи, изменения и отзыва заявок участников.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1151"/>
        <w:ind w:left="0" w:right="0" w:firstLine="567"/>
        <w:jc w:val="both"/>
        <w:tabs>
          <w:tab w:val="left" w:pos="142" w:leader="none"/>
        </w:tabs>
        <w:rPr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</w:rPr>
        <w:t xml:space="preserve">а) при проведении закупки в электронной форме 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  <w:r>
        <w:rPr>
          <w:color w:val="000000"/>
          <w:sz w:val="26"/>
          <w:szCs w:val="26"/>
          <w:highlight w:val="none"/>
        </w:rPr>
      </w:r>
      <w:r>
        <w:rPr>
          <w:color w:val="000000"/>
          <w:sz w:val="26"/>
          <w:szCs w:val="26"/>
          <w:highlight w:val="none"/>
        </w:rPr>
      </w:r>
    </w:p>
    <w:p>
      <w:pPr>
        <w:pStyle w:val="1151"/>
        <w:ind w:left="0" w:right="0" w:firstLine="567"/>
        <w:jc w:val="both"/>
        <w:tabs>
          <w:tab w:val="left" w:pos="142" w:leader="none"/>
          <w:tab w:val="center" w:pos="1134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б) при проведении закупки в неэлектронной форме участник закупки подает заявку на электронный адрес контактного лица Заказчика, указанного в п. 1.2. настоящего Приглашения;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1151"/>
        <w:ind w:left="0" w:right="0" w:firstLine="567"/>
        <w:jc w:val="both"/>
        <w:tabs>
          <w:tab w:val="left" w:pos="142" w:leader="none"/>
          <w:tab w:val="center" w:pos="1134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в) участник закупки вправе подать только одну заявку;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1151"/>
        <w:ind w:left="0" w:right="0" w:firstLine="567"/>
        <w:jc w:val="both"/>
        <w:tabs>
          <w:tab w:val="left" w:pos="142" w:leader="none"/>
          <w:tab w:val="center" w:pos="1134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г) участник закупки, подавший заявку, вправе изменить или отозвать заявку в любое время до момента окончания срока подачи заявок;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1151"/>
        <w:ind w:left="0" w:right="0" w:firstLine="567"/>
        <w:jc w:val="both"/>
        <w:tabs>
          <w:tab w:val="left" w:pos="142" w:leader="none"/>
          <w:tab w:val="center" w:pos="1134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1151"/>
        <w:ind w:left="0" w:right="0" w:firstLine="567"/>
        <w:jc w:val="both"/>
        <w:tabs>
          <w:tab w:val="left" w:pos="142" w:leader="none"/>
          <w:tab w:val="center" w:pos="1134" w:leader="none"/>
        </w:tabs>
        <w:rPr>
          <w:color w:val="000000"/>
          <w:sz w:val="26"/>
          <w:szCs w:val="26"/>
        </w:rPr>
      </w:pPr>
      <w:r>
        <w:rPr>
          <w:color w:val="000000"/>
        </w:rPr>
        <w:t xml:space="preserve">е)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1151"/>
        <w:ind w:left="426" w:right="0" w:hanging="1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1.5.2.</w:t>
      </w:r>
      <w:r>
        <w:rPr>
          <w:sz w:val="26"/>
          <w:szCs w:val="26"/>
        </w:rPr>
        <w:t xml:space="preserve">Сроки проведения этапов закупки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51"/>
        <w:ind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b/>
          <w:sz w:val="26"/>
          <w:szCs w:val="26"/>
        </w:rPr>
        <w:t xml:space="preserve">Дата начала срока подачи заявок: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51"/>
        <w:ind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i/>
          <w:sz w:val="26"/>
          <w:szCs w:val="26"/>
        </w:rPr>
        <w:t xml:space="preserve">«11</w:t>
      </w:r>
      <w:r>
        <w:rPr>
          <w:i/>
          <w:sz w:val="26"/>
          <w:szCs w:val="26"/>
        </w:rPr>
        <w:t xml:space="preserve">» </w:t>
      </w:r>
      <w:r>
        <w:rPr>
          <w:i/>
          <w:sz w:val="26"/>
          <w:szCs w:val="26"/>
        </w:rPr>
        <w:t xml:space="preserve">августа</w:t>
      </w:r>
      <w:r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202</w:t>
      </w:r>
      <w:r>
        <w:rPr>
          <w:i/>
          <w:sz w:val="26"/>
          <w:szCs w:val="26"/>
        </w:rPr>
        <w:t xml:space="preserve">6</w:t>
      </w:r>
      <w:r>
        <w:rPr>
          <w:i/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51"/>
        <w:ind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b/>
          <w:sz w:val="26"/>
          <w:szCs w:val="26"/>
        </w:rPr>
        <w:t xml:space="preserve">Дата и время окончания срока, последний день срока подачи заявок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51"/>
        <w:ind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i/>
          <w:sz w:val="26"/>
          <w:szCs w:val="26"/>
        </w:rPr>
        <w:t xml:space="preserve">«1</w:t>
      </w:r>
      <w:r>
        <w:rPr>
          <w:i/>
          <w:sz w:val="26"/>
          <w:szCs w:val="26"/>
        </w:rPr>
        <w:t xml:space="preserve">3</w:t>
      </w:r>
      <w:r>
        <w:rPr>
          <w:i/>
          <w:sz w:val="26"/>
          <w:szCs w:val="26"/>
        </w:rPr>
        <w:t xml:space="preserve">» </w:t>
      </w:r>
      <w:r>
        <w:rPr>
          <w:i/>
          <w:sz w:val="26"/>
          <w:szCs w:val="26"/>
        </w:rPr>
        <w:t xml:space="preserve">августа</w:t>
      </w:r>
      <w:r>
        <w:rPr>
          <w:i/>
          <w:sz w:val="26"/>
          <w:szCs w:val="26"/>
        </w:rPr>
        <w:t xml:space="preserve"> 202</w:t>
      </w:r>
      <w:r>
        <w:rPr>
          <w:i/>
          <w:sz w:val="26"/>
          <w:szCs w:val="26"/>
        </w:rPr>
        <w:t xml:space="preserve">6</w:t>
      </w:r>
      <w:r>
        <w:rPr>
          <w:i/>
          <w:sz w:val="26"/>
          <w:szCs w:val="26"/>
        </w:rPr>
        <w:t xml:space="preserve"> года 11:00</w:t>
      </w:r>
      <w:r>
        <w:rPr>
          <w:sz w:val="26"/>
          <w:szCs w:val="26"/>
        </w:rPr>
        <w:t xml:space="preserve"> (время московское)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left="0" w:right="0" w:firstLine="425"/>
        <w:jc w:val="both"/>
        <w:widowControl w:val="off"/>
        <w:tabs>
          <w:tab w:val="left" w:pos="142" w:leader="none"/>
          <w:tab w:val="left" w:pos="1620" w:leader="none"/>
        </w:tabs>
        <w:rPr>
          <w:highlight w:val="yellow"/>
        </w:rPr>
      </w:pPr>
      <w:r/>
      <w:bookmarkStart w:id="3" w:name="_Ref468097559"/>
      <w:r/>
      <w:bookmarkStart w:id="4" w:name="_Toc191277852"/>
      <w:r>
        <w:rPr>
          <w:b/>
          <w:szCs w:val="20"/>
        </w:rPr>
        <w:t xml:space="preserve">1.6 Условия и порядок предоставления национального режима</w:t>
      </w:r>
      <w:bookmarkEnd w:id="3"/>
      <w:r/>
      <w:bookmarkEnd w:id="4"/>
      <w:r/>
      <w:bookmarkStart w:id="5" w:name="_Ref30949088"/>
      <w:r>
        <w:rPr>
          <w:highlight w:val="yellow"/>
        </w:rPr>
      </w:r>
      <w:r>
        <w:rPr>
          <w:highlight w:val="yellow"/>
        </w:rPr>
      </w:r>
    </w:p>
    <w:p>
      <w:pPr>
        <w:pStyle w:val="1139"/>
        <w:ind w:left="0" w:right="0" w:firstLine="425"/>
        <w:jc w:val="both"/>
        <w:widowControl w:val="off"/>
        <w:tabs>
          <w:tab w:val="left" w:pos="142" w:leader="none"/>
          <w:tab w:val="left" w:pos="1620" w:leader="none"/>
        </w:tabs>
      </w:pPr>
      <w:r>
        <w:t xml:space="preserve">1.6.1. При проведении закупки способом сравнения цен </w:t>
      </w:r>
      <w:r>
        <w:t xml:space="preserve">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</w:t>
      </w:r>
      <w:r>
        <w:t xml:space="preserve">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r/>
    </w:p>
    <w:p>
      <w:pPr>
        <w:pStyle w:val="1139"/>
        <w:ind w:left="0" w:right="0" w:firstLine="425"/>
        <w:jc w:val="both"/>
        <w:widowControl w:val="off"/>
        <w:tabs>
          <w:tab w:val="left" w:pos="1276" w:leader="none"/>
        </w:tabs>
      </w:pPr>
      <w:r>
        <w:t xml:space="preserve">1.6.2. При осуществлении закупок устанавливается национальный режим, обеспечивающий происходящему из иностранного госуда</w:t>
      </w:r>
      <w:r>
        <w:t xml:space="preserve">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  <w:r/>
    </w:p>
    <w:p>
      <w:pPr>
        <w:pStyle w:val="1139"/>
        <w:jc w:val="both"/>
        <w:tabs>
          <w:tab w:val="left" w:pos="567" w:leader="none"/>
          <w:tab w:val="left" w:pos="851" w:leader="none"/>
        </w:tabs>
      </w:pPr>
      <w:r>
        <w:t xml:space="preserve">        а) </w:t>
      </w:r>
      <w:r>
        <w:t xml:space="preserve">запрет закупок товаров (в том числе поставляемых при выполнении закупаемых </w:t>
      </w:r>
      <w:r>
        <w:t xml:space="preserve">   </w:t>
      </w:r>
      <w:r/>
    </w:p>
    <w:p>
      <w:pPr>
        <w:pStyle w:val="1139"/>
        <w:ind w:left="-426"/>
        <w:jc w:val="both"/>
        <w:tabs>
          <w:tab w:val="left" w:pos="851" w:leader="none"/>
        </w:tabs>
      </w:pPr>
      <w:r>
        <w:t xml:space="preserve">       </w:t>
      </w:r>
      <w:r>
        <w:t xml:space="preserve">работ, оказании закупаемых услуг), происходящих из иностранных государств, работ, </w:t>
      </w:r>
      <w:r>
        <w:t xml:space="preserve">  </w:t>
      </w:r>
      <w:r/>
    </w:p>
    <w:p>
      <w:pPr>
        <w:pStyle w:val="1139"/>
        <w:ind w:left="-426"/>
        <w:jc w:val="both"/>
        <w:tabs>
          <w:tab w:val="left" w:pos="851" w:leader="none"/>
        </w:tabs>
      </w:pPr>
      <w:r>
        <w:t xml:space="preserve">       </w:t>
      </w:r>
      <w:r>
        <w:t xml:space="preserve">услуг, соответственно выполняемых, оказываемых иностранными лицами;</w:t>
      </w:r>
      <w:r/>
    </w:p>
    <w:p>
      <w:pPr>
        <w:pStyle w:val="1139"/>
        <w:ind w:firstLine="360"/>
        <w:jc w:val="both"/>
        <w:tabs>
          <w:tab w:val="left" w:pos="851" w:leader="none"/>
        </w:tabs>
      </w:pPr>
      <w:r>
        <w:t xml:space="preserve"> б) </w:t>
      </w:r>
      <w:r>
        <w:t xml:space="preserve">ограничение закупок товаров (в том числе поставляемых при </w:t>
      </w:r>
      <w: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/>
    </w:p>
    <w:p>
      <w:pPr>
        <w:pStyle w:val="1139"/>
        <w:ind w:firstLine="360"/>
        <w:jc w:val="both"/>
        <w:tabs>
          <w:tab w:val="left" w:pos="851" w:leader="none"/>
        </w:tabs>
      </w:pPr>
      <w:r>
        <w:t xml:space="preserve"> в) </w:t>
      </w:r>
      <w: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/>
    </w:p>
    <w:p>
      <w:pPr>
        <w:pStyle w:val="1139"/>
        <w:ind w:firstLine="567"/>
        <w:jc w:val="both"/>
        <w:widowControl w:val="off"/>
        <w:tabs>
          <w:tab w:val="left" w:pos="0" w:leader="none"/>
        </w:tabs>
      </w:pPr>
      <w:r>
        <w:t xml:space="preserve">1.6.3. Если иное не предусмотрено мерами, приня</w:t>
      </w:r>
      <w:r>
        <w:t xml:space="preserve">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/>
    </w:p>
    <w:p>
      <w:pPr>
        <w:pStyle w:val="1139"/>
        <w:jc w:val="both"/>
        <w:widowControl w:val="off"/>
        <w:tabs>
          <w:tab w:val="left" w:pos="709" w:leader="none"/>
          <w:tab w:val="left" w:pos="1134" w:leader="none"/>
        </w:tabs>
      </w:pPr>
      <w:r>
        <w:t xml:space="preserve">        1.6.4.</w:t>
      </w:r>
      <w: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  <w:r/>
    </w:p>
    <w:p>
      <w:pPr>
        <w:ind w:left="0" w:right="0" w:firstLine="425"/>
        <w:jc w:val="both"/>
        <w:widowControl w:val="off"/>
        <w:tabs>
          <w:tab w:val="left" w:pos="709" w:leader="none"/>
          <w:tab w:val="left" w:pos="1134" w:leader="none"/>
        </w:tabs>
      </w:pPr>
      <w:r/>
      <w:bookmarkStart w:id="6" w:name="_Toc191625417"/>
      <w:r>
        <w:rPr>
          <w:bCs/>
          <w:lang w:val="en-US" w:eastAsia="en-US"/>
        </w:rPr>
        <w:t xml:space="preserve">а) заключение договора на поставку такого товара;</w:t>
      </w:r>
      <w:bookmarkEnd w:id="5"/>
      <w:r>
        <w:rPr>
          <w:bCs/>
          <w:lang w:val="en-US" w:eastAsia="en-US"/>
        </w:rPr>
        <w:t xml:space="preserve"> </w:t>
      </w:r>
      <w:r/>
    </w:p>
    <w:p>
      <w:pPr>
        <w:ind w:left="0" w:right="0" w:firstLine="425"/>
        <w:jc w:val="both"/>
        <w:widowControl w:val="off"/>
        <w:tabs>
          <w:tab w:val="left" w:pos="709" w:leader="none"/>
          <w:tab w:val="left" w:pos="1134" w:leader="none"/>
        </w:tabs>
      </w:pPr>
      <w:r/>
      <w:bookmarkStart w:id="7" w:name="_Toc191625418"/>
      <w:r>
        <w:rPr>
          <w:bCs/>
          <w:lang w:val="en-US" w:eastAsia="en-US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6"/>
      <w:r/>
      <w:r/>
    </w:p>
    <w:p>
      <w:pPr>
        <w:ind w:left="0" w:right="0" w:firstLine="425"/>
        <w:jc w:val="both"/>
        <w:widowControl w:val="off"/>
        <w:tabs>
          <w:tab w:val="left" w:pos="709" w:leader="none"/>
          <w:tab w:val="left" w:pos="1134" w:leader="none"/>
        </w:tabs>
      </w:pPr>
      <w:r>
        <w:rPr>
          <w:bCs/>
          <w:lang w:eastAsia="en-US"/>
        </w:rPr>
        <w:t xml:space="preserve">1.6.5</w:t>
      </w:r>
      <w: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r/>
    </w:p>
    <w:p>
      <w:pPr>
        <w:ind w:left="0" w:right="0" w:firstLine="425"/>
        <w:jc w:val="both"/>
        <w:widowControl w:val="off"/>
        <w:tabs>
          <w:tab w:val="left" w:pos="709" w:leader="none"/>
          <w:tab w:val="left" w:pos="1134" w:leader="none"/>
        </w:tabs>
      </w:pPr>
      <w:r/>
      <w:bookmarkStart w:id="8" w:name="_Toc191625419"/>
      <w:r>
        <w:rPr>
          <w:lang w:val="en-US" w:eastAsia="en-US"/>
        </w:rPr>
        <w:t xml:space="preserve">а) заключение договора на поставку товара, происходящего из иностранного государства, если поданы заявк</w:t>
      </w:r>
      <w:r>
        <w:rPr>
          <w:lang w:eastAsia="en-US"/>
        </w:rPr>
        <w:t xml:space="preserve">и</w:t>
      </w:r>
      <w:r>
        <w:rPr>
          <w:lang w:val="en-US" w:eastAsia="en-US"/>
        </w:rPr>
        <w:t xml:space="preserve"> на участие в закупке, признанные по результатам их рассмотрения соответствующими требованиям положения о закупке, </w:t>
      </w:r>
      <w:r>
        <w:rPr>
          <w:lang w:eastAsia="en-US"/>
        </w:rPr>
        <w:t xml:space="preserve">Приглашения</w:t>
      </w:r>
      <w:r>
        <w:rPr>
          <w:lang w:val="en-US" w:eastAsia="en-US"/>
        </w:rPr>
        <w:t xml:space="preserve"> о проведении </w:t>
      </w:r>
      <w:r>
        <w:rPr>
          <w:lang w:eastAsia="en-US"/>
        </w:rPr>
        <w:t xml:space="preserve">закупки способом сравнения цен</w:t>
      </w:r>
      <w:r>
        <w:rPr>
          <w:lang w:val="en-US" w:eastAsia="en-US"/>
        </w:rPr>
        <w:t xml:space="preserve">, и содержащие предложения о поставке товара российского происхождения;</w:t>
      </w:r>
      <w:bookmarkEnd w:id="7"/>
      <w:r>
        <w:rPr>
          <w:lang w:val="en-US" w:eastAsia="en-US"/>
        </w:rPr>
        <w:t xml:space="preserve"> </w:t>
      </w:r>
      <w:r/>
    </w:p>
    <w:p>
      <w:pPr>
        <w:ind w:left="0" w:right="0" w:firstLine="425"/>
        <w:jc w:val="both"/>
        <w:widowControl w:val="off"/>
        <w:tabs>
          <w:tab w:val="left" w:pos="709" w:leader="none"/>
          <w:tab w:val="left" w:pos="1134" w:leader="none"/>
        </w:tabs>
      </w:pPr>
      <w:r/>
      <w:bookmarkStart w:id="9" w:name="_Toc191625420"/>
      <w:r>
        <w:rPr>
          <w:lang w:val="en-US" w:eastAsia="en-US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8"/>
      <w:r/>
      <w:r/>
    </w:p>
    <w:p>
      <w:pPr>
        <w:pStyle w:val="1139"/>
        <w:ind w:left="0" w:right="0" w:firstLine="425"/>
        <w:jc w:val="both"/>
        <w:keepLines/>
        <w:widowControl w:val="off"/>
        <w:tabs>
          <w:tab w:val="left" w:pos="709" w:leader="none"/>
          <w:tab w:val="left" w:pos="1276" w:leader="none"/>
        </w:tabs>
      </w:pPr>
      <w:r>
        <w:t xml:space="preserve">   1.6.6. </w:t>
      </w:r>
      <w: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0" w:name="_Toc191625421"/>
      <w:r/>
      <w:r/>
    </w:p>
    <w:p>
      <w:pPr>
        <w:pStyle w:val="1139"/>
        <w:ind w:firstLine="567"/>
        <w:jc w:val="both"/>
        <w:keepLines/>
        <w:widowControl w:val="off"/>
        <w:tabs>
          <w:tab w:val="left" w:pos="709" w:leader="none"/>
          <w:tab w:val="left" w:pos="1276" w:leader="none"/>
        </w:tabs>
      </w:pPr>
      <w:r>
        <w:t xml:space="preserve"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</w:t>
      </w:r>
      <w:r>
        <w:t xml:space="preserve">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9"/>
      <w:r>
        <w:t xml:space="preserve"> </w:t>
      </w:r>
      <w:bookmarkStart w:id="11" w:name="_Toc191625422"/>
      <w:r/>
      <w:r/>
    </w:p>
    <w:p>
      <w:pPr>
        <w:pStyle w:val="1139"/>
        <w:ind w:firstLine="567"/>
        <w:jc w:val="both"/>
        <w:keepLines/>
        <w:widowControl w:val="off"/>
        <w:tabs>
          <w:tab w:val="left" w:pos="709" w:leader="none"/>
          <w:tab w:val="left" w:pos="1276" w:leader="none"/>
        </w:tabs>
        <w:rPr>
          <w:bCs/>
        </w:rPr>
      </w:pPr>
      <w:r>
        <w:rPr>
          <w:bCs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0"/>
      <w:r>
        <w:rPr>
          <w:bCs/>
        </w:rPr>
        <w:t xml:space="preserve"> </w:t>
      </w:r>
      <w:bookmarkStart w:id="12" w:name="_Toc191625423"/>
      <w:r>
        <w:rPr>
          <w:bCs/>
        </w:rPr>
      </w:r>
      <w:r>
        <w:rPr>
          <w:bCs/>
        </w:rPr>
      </w:r>
    </w:p>
    <w:p>
      <w:pPr>
        <w:pStyle w:val="1139"/>
        <w:ind w:firstLine="567"/>
        <w:jc w:val="both"/>
        <w:keepLines/>
        <w:widowControl w:val="off"/>
        <w:tabs>
          <w:tab w:val="left" w:pos="709" w:leader="none"/>
          <w:tab w:val="left" w:pos="1276" w:leader="none"/>
        </w:tabs>
        <w:rPr>
          <w:bCs/>
        </w:rPr>
      </w:pPr>
      <w:r>
        <w:rPr>
          <w:bCs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1"/>
      <w:r>
        <w:rPr>
          <w:bCs/>
        </w:rPr>
      </w:r>
      <w:r>
        <w:rPr>
          <w:bCs/>
        </w:rPr>
      </w:r>
    </w:p>
    <w:p>
      <w:pPr>
        <w:pStyle w:val="1139"/>
        <w:ind w:left="0" w:right="0" w:firstLine="567"/>
        <w:jc w:val="both"/>
        <w:widowControl w:val="off"/>
        <w:tabs>
          <w:tab w:val="left" w:pos="709" w:leader="none"/>
          <w:tab w:val="left" w:pos="1620" w:leader="none"/>
        </w:tabs>
      </w:pPr>
      <w: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  <w:r/>
    </w:p>
    <w:p>
      <w:pPr>
        <w:pStyle w:val="1139"/>
        <w:ind w:firstLine="567"/>
        <w:jc w:val="both"/>
        <w:keepLines/>
        <w:keepNext/>
        <w:rPr>
          <w:b/>
          <w:bCs/>
          <w:lang w:val="en-US" w:eastAsia="en-US"/>
        </w:rPr>
        <w:outlineLvl w:val="2"/>
      </w:pPr>
      <w:r/>
      <w:bookmarkStart w:id="13" w:name="_Toc191625424"/>
      <w:r>
        <w:rPr>
          <w:bCs/>
          <w:lang w:val="en-US" w:eastAsia="en-US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2"/>
      <w:r>
        <w:rPr>
          <w:b/>
          <w:bCs/>
          <w:lang w:val="en-US" w:eastAsia="en-US"/>
        </w:rPr>
      </w:r>
      <w:r>
        <w:rPr>
          <w:b/>
          <w:bCs/>
          <w:lang w:val="en-US" w:eastAsia="en-US"/>
        </w:rPr>
      </w:r>
    </w:p>
    <w:p>
      <w:pPr>
        <w:pStyle w:val="1139"/>
        <w:ind w:firstLine="567"/>
        <w:jc w:val="both"/>
        <w:keepLines/>
        <w:keepNext/>
        <w:rPr>
          <w:b/>
          <w:bCs/>
          <w:lang w:val="en-US" w:eastAsia="en-US"/>
        </w:rPr>
        <w:outlineLvl w:val="2"/>
      </w:pPr>
      <w:r/>
      <w:bookmarkStart w:id="14" w:name="_Toc191625425"/>
      <w:r>
        <w:rPr>
          <w:bCs/>
          <w:lang w:val="en-US" w:eastAsia="en-US"/>
        </w:rPr>
        <w:t xml:space="preserve">б) перемена подрядчика (</w:t>
      </w:r>
      <w:r>
        <w:rPr>
          <w:bCs/>
          <w:lang w:val="en-US" w:eastAsia="en-US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3"/>
      <w:r>
        <w:rPr>
          <w:b/>
          <w:bCs/>
          <w:lang w:val="en-US" w:eastAsia="en-US"/>
        </w:rPr>
      </w:r>
      <w:r>
        <w:rPr>
          <w:b/>
          <w:bCs/>
          <w:lang w:val="en-US" w:eastAsia="en-US"/>
        </w:rPr>
      </w:r>
    </w:p>
    <w:p>
      <w:pPr>
        <w:pStyle w:val="1139"/>
        <w:jc w:val="both"/>
        <w:widowControl w:val="off"/>
        <w:tabs>
          <w:tab w:val="left" w:pos="426" w:leader="none"/>
        </w:tabs>
      </w:pPr>
      <w:r>
        <w:t xml:space="preserve">        1.6.8. </w:t>
      </w:r>
      <w:r>
        <w:t xml:space="preserve"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  <w:r/>
    </w:p>
    <w:p>
      <w:pPr>
        <w:pStyle w:val="1139"/>
        <w:ind w:firstLine="567"/>
        <w:jc w:val="both"/>
        <w:keepLines/>
        <w:tabs>
          <w:tab w:val="left" w:pos="567" w:leader="none"/>
        </w:tabs>
      </w:pPr>
      <w:r>
        <w:t xml:space="preserve">а) заключение д</w:t>
      </w:r>
      <w:r>
        <w:t xml:space="preserve">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  <w:r/>
    </w:p>
    <w:p>
      <w:pPr>
        <w:pStyle w:val="1139"/>
        <w:ind w:firstLine="567"/>
        <w:jc w:val="both"/>
        <w:keepLines/>
        <w:tabs>
          <w:tab w:val="left" w:pos="567" w:leader="none"/>
        </w:tabs>
      </w:pPr>
      <w:r>
        <w:t xml:space="preserve">б) перемена подрядчика (исполнителя) (в случае, если эта перем</w:t>
      </w:r>
      <w: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/>
    </w:p>
    <w:p>
      <w:pPr>
        <w:pStyle w:val="1139"/>
        <w:jc w:val="both"/>
        <w:widowControl w:val="off"/>
        <w:tabs>
          <w:tab w:val="left" w:pos="1276" w:leader="none"/>
        </w:tabs>
      </w:pPr>
      <w:r>
        <w:t xml:space="preserve">         1.6.9. </w:t>
      </w:r>
      <w:r>
        <w:t xml:space="preserve"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  <w:r/>
    </w:p>
    <w:p>
      <w:pPr>
        <w:ind w:left="0" w:right="0" w:firstLine="567"/>
        <w:jc w:val="both"/>
        <w:widowControl w:val="off"/>
        <w:tabs>
          <w:tab w:val="left" w:pos="1276" w:leader="none"/>
        </w:tabs>
      </w:pPr>
      <w:r/>
      <w:bookmarkStart w:id="15" w:name="_Toc191625426"/>
      <w:r>
        <w:rPr>
          <w:bCs/>
          <w:lang w:val="en-US" w:eastAsia="en-US"/>
        </w:rPr>
        <w:t xml:space="preserve">а) при рассмотрении, оценке, сопоставлении заявок на участие в </w:t>
      </w:r>
      <w:r>
        <w:rPr>
          <w:bCs/>
          <w:lang w:eastAsia="en-US"/>
        </w:rPr>
        <w:t xml:space="preserve">закупке способом сравнения цен</w:t>
      </w:r>
      <w:r>
        <w:rPr>
          <w:bCs/>
          <w:lang w:val="en-US" w:eastAsia="en-US"/>
        </w:rPr>
        <w:t xml:space="preserve">, осуществляется снижение на 15 (пятнадцать) % (процентов) ценового предлож</w:t>
      </w:r>
      <w:r>
        <w:rPr>
          <w:bCs/>
          <w:lang w:val="en-US" w:eastAsia="en-US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4"/>
      <w:r/>
      <w:r/>
    </w:p>
    <w:p>
      <w:pPr>
        <w:ind w:left="0" w:right="0" w:firstLine="567"/>
        <w:jc w:val="both"/>
        <w:widowControl w:val="off"/>
        <w:tabs>
          <w:tab w:val="left" w:pos="1276" w:leader="none"/>
        </w:tabs>
      </w:pPr>
      <w:r/>
      <w:bookmarkStart w:id="16" w:name="_Toc191625427"/>
      <w:r>
        <w:rPr>
          <w:bCs/>
          <w:lang w:val="en-US" w:eastAsia="en-US"/>
        </w:rPr>
        <w:t xml:space="preserve">б) в случае заключения договора с участником закупки, указанным в пп</w:t>
      </w:r>
      <w:r>
        <w:rPr>
          <w:bCs/>
          <w:lang w:eastAsia="en-US"/>
        </w:rPr>
        <w:t xml:space="preserve">.</w:t>
      </w:r>
      <w:r>
        <w:rPr>
          <w:bCs/>
          <w:lang w:val="en-US" w:eastAsia="en-US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5"/>
      <w:r/>
      <w:r/>
    </w:p>
    <w:p>
      <w:pPr>
        <w:ind w:left="0" w:right="0" w:firstLine="567"/>
        <w:jc w:val="both"/>
        <w:widowControl w:val="off"/>
        <w:tabs>
          <w:tab w:val="left" w:pos="1276" w:leader="none"/>
        </w:tabs>
      </w:pPr>
      <w:r/>
      <w:bookmarkStart w:id="17" w:name="_Toc191625428"/>
      <w:r>
        <w:rPr>
          <w:bCs/>
          <w:lang w:val="en-US" w:eastAsia="en-US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6"/>
      <w:r/>
      <w:bookmarkEnd w:id="17"/>
      <w:r/>
      <w:r/>
    </w:p>
    <w:p>
      <w:pPr>
        <w:pStyle w:val="1139"/>
        <w:ind w:firstLine="567"/>
        <w:jc w:val="both"/>
        <w:keepLines/>
        <w:keepNext/>
        <w:rPr>
          <w:bCs/>
          <w:lang w:val="en-US" w:eastAsia="en-US"/>
        </w:rPr>
        <w:outlineLvl w:val="2"/>
      </w:pPr>
      <w:r>
        <w:t xml:space="preserve">1.7. </w:t>
      </w:r>
      <w:r>
        <w:t xml:space="preserve">Во всем, что не урегулировано </w:t>
      </w:r>
      <w:r>
        <w:t xml:space="preserve">приглашением к участию в закупке способом сравнения цен </w:t>
      </w:r>
      <w:r>
        <w:t xml:space="preserve"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  <w:r>
        <w:rPr>
          <w:bCs/>
          <w:lang w:val="en-US" w:eastAsia="en-US"/>
        </w:rPr>
      </w:r>
      <w:r>
        <w:rPr>
          <w:bCs/>
          <w:lang w:val="en-US" w:eastAsia="en-US"/>
        </w:rPr>
      </w:r>
    </w:p>
    <w:p>
      <w:pPr>
        <w:pStyle w:val="1139"/>
        <w:ind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0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  <w:outlineLvl w:val="0"/>
      </w:pPr>
      <w:r>
        <w:rPr>
          <w:sz w:val="26"/>
          <w:szCs w:val="26"/>
        </w:rPr>
        <w:t xml:space="preserve">ТРЕБОВАНИЯ К СВЕДЕНИЯМ И ДОКУМЕНТАМ, ПРЕДСТАВЛЯЕМЫМ В СОСТАВЕ ЗАЯВКИ УЧАСТНИКА ЗАКУПКИ, ТРЕБОВАНИЯ К УЧАСТНИКАМ ЗАКУПКИ, ПОДАЧЕ ЗАЯВКИ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  <w:sz w:val="26"/>
          <w:szCs w:val="26"/>
        </w:rPr>
        <w:outlineLvl w:val="1"/>
      </w:pPr>
      <w:r/>
      <w:bookmarkStart w:id="18" w:name="_Toc5718770"/>
      <w:r>
        <w:rPr>
          <w:b/>
          <w:sz w:val="26"/>
          <w:szCs w:val="26"/>
        </w:rPr>
        <w:t xml:space="preserve">Требования к оформлению заявки </w:t>
      </w:r>
      <w:bookmarkEnd w:id="18"/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/>
      <w:bookmarkStart w:id="19" w:name="_Ref166246797"/>
      <w:r>
        <w:rPr>
          <w:sz w:val="26"/>
          <w:szCs w:val="26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>
        <w:rPr>
          <w:sz w:val="26"/>
          <w:szCs w:val="26"/>
        </w:rPr>
        <w:t xml:space="preserve"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>
        <w:rPr>
          <w:sz w:val="26"/>
          <w:szCs w:val="26"/>
        </w:rPr>
        <w:t xml:space="preserve"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>
        <w:rPr>
          <w:sz w:val="26"/>
          <w:szCs w:val="26"/>
        </w:rPr>
        <w:t xml:space="preserve"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Участник </w:t>
      </w:r>
      <w:r>
        <w:rPr>
          <w:bCs/>
          <w:sz w:val="26"/>
          <w:szCs w:val="26"/>
        </w:rPr>
        <w:t xml:space="preserve">закупки </w:t>
      </w:r>
      <w:r>
        <w:rPr>
          <w:sz w:val="26"/>
          <w:szCs w:val="26"/>
        </w:rPr>
        <w:t xml:space="preserve">готовит заявку на участие в закупке в соответствии с требованиями разде</w:t>
      </w:r>
      <w:r>
        <w:rPr>
          <w:sz w:val="26"/>
          <w:szCs w:val="26"/>
        </w:rPr>
        <w:t xml:space="preserve">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19"/>
      <w:r>
        <w:rPr>
          <w:sz w:val="26"/>
          <w:szCs w:val="26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Cs w:val="22"/>
        </w:rPr>
        <w:t xml:space="preserve">В случае применения национального режима</w:t>
      </w:r>
      <w:r>
        <w:rPr>
          <w:szCs w:val="22"/>
        </w:rPr>
        <w:t xml:space="preserve">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</w:t>
      </w:r>
      <w:r>
        <w:rPr>
          <w:szCs w:val="22"/>
        </w:rPr>
        <w:t xml:space="preserve">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>
        <w:rPr>
          <w:szCs w:val="28"/>
        </w:rPr>
        <w:t xml:space="preserve">отражает соответствующую информацию в Спецификации на поставку ТМЦ. При закупке работ, услуг информация отражается в заявке участника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При проведении закупки в неэлектронной форме</w:t>
      </w:r>
      <w:r>
        <w:rPr>
          <w:sz w:val="26"/>
          <w:szCs w:val="26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</w:t>
      </w:r>
      <w:r>
        <w:rPr>
          <w:sz w:val="26"/>
          <w:szCs w:val="26"/>
        </w:rPr>
        <w:t xml:space="preserve">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Сведения, которые содержатся в заявках участников </w:t>
      </w:r>
      <w:r>
        <w:rPr>
          <w:bCs/>
          <w:sz w:val="26"/>
          <w:szCs w:val="26"/>
        </w:rPr>
        <w:t xml:space="preserve">закупки</w:t>
      </w:r>
      <w:r>
        <w:rPr>
          <w:sz w:val="26"/>
          <w:szCs w:val="26"/>
        </w:rPr>
        <w:t xml:space="preserve">, не должны допускать двусмысленных толкований.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/>
      <w:bookmarkStart w:id="20" w:name="_Ref11475563"/>
      <w:r>
        <w:rPr>
          <w:sz w:val="26"/>
          <w:szCs w:val="26"/>
        </w:rPr>
        <w:t xml:space="preserve">Если в документах, входящих в состав заявки, </w:t>
      </w:r>
      <w:bookmarkEnd w:id="20"/>
      <w:r>
        <w:rPr>
          <w:sz w:val="26"/>
          <w:szCs w:val="26"/>
        </w:rPr>
        <w:t xml:space="preserve">имеются расхождения между обозначением сумм прописью и цифрами, то принимается к рассмотрению сумма, указанная прописью.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</w:t>
      </w:r>
      <w:r>
        <w:rPr>
          <w:sz w:val="26"/>
          <w:szCs w:val="26"/>
        </w:rPr>
        <w:t xml:space="preserve">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</w:t>
      </w:r>
      <w:r>
        <w:rPr>
          <w:sz w:val="26"/>
          <w:szCs w:val="26"/>
        </w:rPr>
        <w:t xml:space="preserve">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</w:t>
      </w:r>
      <w:r>
        <w:rPr>
          <w:sz w:val="26"/>
          <w:szCs w:val="26"/>
        </w:rPr>
        <w:t xml:space="preserve">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Все документы, представляемые участниками </w:t>
      </w:r>
      <w:r>
        <w:rPr>
          <w:bCs/>
          <w:sz w:val="26"/>
          <w:szCs w:val="26"/>
        </w:rPr>
        <w:t xml:space="preserve">закупки </w:t>
      </w:r>
      <w:r>
        <w:rPr>
          <w:sz w:val="26"/>
          <w:szCs w:val="26"/>
        </w:rP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sz w:val="26"/>
          <w:szCs w:val="26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Инструкции по заполнению форм настоящего приглашения к участию в закупке сп</w:t>
      </w:r>
      <w:r>
        <w:rPr>
          <w:sz w:val="26"/>
          <w:szCs w:val="26"/>
        </w:rPr>
        <w:t xml:space="preserve">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left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  <w:sz w:val="26"/>
          <w:szCs w:val="26"/>
        </w:rPr>
        <w:outlineLvl w:val="1"/>
      </w:pPr>
      <w:r/>
      <w:bookmarkStart w:id="21" w:name="_Ref119429784"/>
      <w:r/>
      <w:bookmarkStart w:id="22" w:name="_Ref119429817"/>
      <w:r/>
      <w:bookmarkStart w:id="23" w:name="_Ref119430333"/>
      <w:r/>
      <w:bookmarkStart w:id="24" w:name="_Toc123405470"/>
      <w:r/>
      <w:bookmarkStart w:id="25" w:name="_Toc123405469"/>
      <w:r/>
      <w:bookmarkStart w:id="26" w:name="_Toc387652312"/>
      <w:r/>
      <w:bookmarkStart w:id="27" w:name="_Toc5718771"/>
      <w:r>
        <w:rPr>
          <w:b/>
          <w:sz w:val="26"/>
          <w:szCs w:val="26"/>
        </w:rPr>
        <w:t xml:space="preserve">Язык документов, входящих в состав заявки </w:t>
      </w:r>
      <w:bookmarkEnd w:id="21"/>
      <w:r/>
      <w:bookmarkEnd w:id="22"/>
      <w:r/>
      <w:bookmarkEnd w:id="23"/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Заявка должна быть подготовлена на русском языке за исключением нижеследующего.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Документы, оригиналы которых выданы участнику закупки третьими ли</w:t>
      </w:r>
      <w:r>
        <w:rPr>
          <w:sz w:val="26"/>
          <w:szCs w:val="26"/>
        </w:rPr>
        <w:t xml:space="preserve">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</w:t>
      </w:r>
      <w:r>
        <w:rPr>
          <w:sz w:val="26"/>
          <w:szCs w:val="26"/>
        </w:rPr>
        <w:t xml:space="preserve">умента на ином языке Заказчик будет принимать решение на основании перевода.</w:t>
      </w:r>
      <w:bookmarkStart w:id="28" w:name="_Toc518119272"/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bCs/>
          <w:sz w:val="26"/>
          <w:szCs w:val="26"/>
        </w:rPr>
        <w:t xml:space="preserve">Рассмотрению не подлежат документы, не переведенные на русский язык</w:t>
      </w:r>
      <w:r>
        <w:rPr>
          <w:sz w:val="26"/>
          <w:szCs w:val="26"/>
        </w:rPr>
        <w:t xml:space="preserve">. </w:t>
      </w:r>
      <w:bookmarkEnd w:id="24"/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1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sz w:val="26"/>
          <w:szCs w:val="26"/>
        </w:rPr>
        <w:outlineLvl w:val="1"/>
      </w:pPr>
      <w:r/>
      <w:bookmarkStart w:id="29" w:name="_Toc5718772"/>
      <w:r>
        <w:rPr>
          <w:b/>
          <w:sz w:val="26"/>
          <w:szCs w:val="26"/>
        </w:rPr>
        <w:t xml:space="preserve">Требования к валюте </w:t>
      </w:r>
      <w:bookmarkEnd w:id="25"/>
      <w:r>
        <w:rPr>
          <w:b/>
          <w:sz w:val="26"/>
          <w:szCs w:val="26"/>
        </w:rPr>
        <w:t xml:space="preserve">заявки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/>
      <w:bookmarkEnd w:id="26"/>
      <w:r/>
      <w:bookmarkStart w:id="30" w:name="_Hlt517806775"/>
      <w:r/>
      <w:bookmarkStart w:id="31" w:name="_Ref52534291"/>
      <w:r>
        <w:rPr>
          <w:sz w:val="26"/>
          <w:szCs w:val="26"/>
        </w:rP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27"/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/>
      <w:bookmarkStart w:id="32" w:name="_Toc518119275"/>
      <w:r>
        <w:rPr>
          <w:sz w:val="26"/>
          <w:szCs w:val="26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</w:t>
      </w:r>
      <w:r>
        <w:rPr>
          <w:sz w:val="26"/>
          <w:szCs w:val="26"/>
        </w:rPr>
        <w:t xml:space="preserve">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28"/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1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sz w:val="26"/>
          <w:szCs w:val="26"/>
        </w:rPr>
        <w:outlineLvl w:val="1"/>
      </w:pPr>
      <w:r/>
      <w:bookmarkStart w:id="33" w:name="_Toc5718773"/>
      <w:r>
        <w:rPr>
          <w:b/>
          <w:sz w:val="26"/>
          <w:szCs w:val="26"/>
        </w:rPr>
        <w:t xml:space="preserve">Требования к составу заявки </w:t>
      </w:r>
      <w:bookmarkEnd w:id="29"/>
      <w:r/>
      <w:bookmarkEnd w:id="30"/>
      <w:r/>
      <w:bookmarkEnd w:id="31"/>
      <w:r/>
      <w:bookmarkEnd w:id="32"/>
      <w:r/>
      <w:bookmarkEnd w:id="33"/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/>
      <w:bookmarkStart w:id="34" w:name="_Ref166243143"/>
      <w:r>
        <w:rPr>
          <w:sz w:val="26"/>
          <w:szCs w:val="26"/>
        </w:rPr>
        <w:t xml:space="preserve">Заявка на участие должна содержать сведения и документы, указанные в </w:t>
      </w:r>
      <w:bookmarkEnd w:id="34"/>
      <w:r>
        <w:rPr>
          <w:bCs/>
          <w:sz w:val="26"/>
          <w:szCs w:val="26"/>
        </w:rPr>
        <w:t xml:space="preserve">настоящем приглашении</w:t>
      </w:r>
      <w:r>
        <w:rPr>
          <w:sz w:val="26"/>
          <w:szCs w:val="26"/>
        </w:rPr>
        <w:t xml:space="preserve">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/>
      <w:bookmarkStart w:id="35" w:name="_Ref166316209"/>
      <w:r>
        <w:rPr>
          <w:sz w:val="26"/>
          <w:szCs w:val="26"/>
        </w:rPr>
        <w:t xml:space="preserve"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5"/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Помимо сведений и документов, установле</w:t>
      </w:r>
      <w:r>
        <w:rPr>
          <w:sz w:val="26"/>
          <w:szCs w:val="26"/>
        </w:rPr>
        <w:t xml:space="preserve">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1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sz w:val="26"/>
          <w:szCs w:val="26"/>
        </w:rPr>
        <w:outlineLvl w:val="1"/>
      </w:pPr>
      <w:r/>
      <w:bookmarkStart w:id="36" w:name="_Toc123405472"/>
      <w:r>
        <w:rPr>
          <w:b/>
          <w:sz w:val="26"/>
          <w:szCs w:val="26"/>
        </w:rPr>
        <w:t xml:space="preserve">Требования к описанию </w:t>
      </w:r>
      <w:bookmarkEnd w:id="36"/>
      <w:r>
        <w:rPr>
          <w:b/>
          <w:sz w:val="26"/>
          <w:szCs w:val="26"/>
        </w:rPr>
        <w:t xml:space="preserve">заявки участника закупки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Цена договора, предлагаемая участником зак</w:t>
      </w:r>
      <w:r>
        <w:rPr>
          <w:sz w:val="26"/>
          <w:szCs w:val="26"/>
        </w:rPr>
        <w:t xml:space="preserve">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</w:t>
      </w:r>
      <w:r>
        <w:rPr>
          <w:sz w:val="26"/>
          <w:szCs w:val="26"/>
        </w:rPr>
        <w:t xml:space="preserve">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  <w:sz w:val="26"/>
          <w:szCs w:val="26"/>
        </w:rPr>
        <w:t xml:space="preserve"> если иное не установлено, </w:t>
      </w:r>
      <w:r>
        <w:rPr>
          <w:sz w:val="26"/>
          <w:szCs w:val="26"/>
        </w:rPr>
        <w:t xml:space="preserve">заявка участника не должна превышать единичные расценки либо отдельные стоимостные позиции соответственно.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Цена договора должна включать </w:t>
      </w:r>
      <w:r>
        <w:rPr>
          <w:rFonts w:eastAsia="Calibri"/>
          <w:bCs/>
          <w:sz w:val="26"/>
          <w:szCs w:val="26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sz w:val="26"/>
          <w:szCs w:val="26"/>
        </w:rPr>
        <w:t xml:space="preserve">, если иное не установлено приглашением к участию в закупке способом сравнения цен.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Участник закупки должен принять во внимание, что, если иное не установлено приглашением </w:t>
      </w:r>
      <w:r>
        <w:rPr>
          <w:sz w:val="26"/>
          <w:szCs w:val="26"/>
        </w:rPr>
        <w:t xml:space="preserve">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</w:t>
      </w:r>
      <w:r>
        <w:rPr>
          <w:sz w:val="26"/>
          <w:szCs w:val="26"/>
        </w:rPr>
        <w:t xml:space="preserve">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  <w:sz w:val="26"/>
          <w:szCs w:val="26"/>
        </w:rPr>
        <w:t xml:space="preserve"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</w:t>
      </w:r>
      <w:r>
        <w:rPr>
          <w:color w:val="000000"/>
          <w:sz w:val="26"/>
          <w:szCs w:val="26"/>
        </w:rPr>
        <w:t xml:space="preserve">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113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bCs/>
          <w:sz w:val="26"/>
          <w:szCs w:val="26"/>
        </w:rPr>
      </w:pPr>
      <w:r>
        <w:rPr>
          <w:color w:val="000000"/>
          <w:sz w:val="26"/>
          <w:szCs w:val="26"/>
        </w:rPr>
        <w:t xml:space="preserve">При описании продукции участник процедуры закупки должен использовать общеизвестные (стандартные</w:t>
      </w:r>
      <w:r>
        <w:rPr>
          <w:sz w:val="26"/>
          <w:szCs w:val="26"/>
        </w:rPr>
        <w:t xml:space="preserve">) показатели, термины и сокращения в соответствии с законодательством и требованиями настоящего приглашения.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1139"/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  <w:sz w:val="26"/>
          <w:szCs w:val="26"/>
        </w:rPr>
        <w:outlineLvl w:val="1"/>
      </w:pPr>
      <w:r>
        <w:rPr>
          <w:b/>
          <w:sz w:val="26"/>
          <w:szCs w:val="26"/>
        </w:rPr>
        <w:t xml:space="preserve">Участники закупки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1139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2.6.1.</w:t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  <w:sz w:val="26"/>
          <w:szCs w:val="26"/>
        </w:rPr>
        <w:outlineLvl w:val="1"/>
      </w:pPr>
      <w:r>
        <w:rPr>
          <w:b/>
          <w:sz w:val="26"/>
          <w:szCs w:val="26"/>
        </w:rPr>
        <w:t xml:space="preserve">Требования к участникам закупки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1139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2.7.1.</w:t>
        <w:tab/>
        <w:t xml:space="preserve">Чтобы претендовать на победу в закупке и получения права заключить договор, участник закупки должен отвечать следующим требованиям: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left="0" w:right="0" w:firstLine="567"/>
        <w:jc w:val="both"/>
        <w:tabs>
          <w:tab w:val="left" w:pos="0" w:leader="none"/>
          <w:tab w:val="left" w:pos="851" w:leader="none"/>
        </w:tabs>
        <w:rPr>
          <w:bCs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а) должен </w:t>
      </w:r>
      <w:r>
        <w:rPr>
          <w:bCs/>
          <w:sz w:val="26"/>
          <w:szCs w:val="26"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p>
      <w:pPr>
        <w:pStyle w:val="1139"/>
        <w:ind w:left="0" w:right="0" w:firstLine="567"/>
        <w:jc w:val="both"/>
        <w:tabs>
          <w:tab w:val="left" w:pos="0" w:leader="none"/>
          <w:tab w:val="left" w:pos="851" w:leader="none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б) 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</w:t>
      </w:r>
      <w:r>
        <w:rPr>
          <w:bCs/>
          <w:sz w:val="26"/>
          <w:szCs w:val="26"/>
        </w:rPr>
        <w:t xml:space="preserve">а</w:t>
      </w:r>
      <w:r>
        <w:rPr>
          <w:bCs/>
          <w:sz w:val="26"/>
          <w:szCs w:val="26"/>
        </w:rPr>
        <w:t xml:space="preserve">териально-технические) (если необходимо); </w:t>
      </w: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p>
      <w:pPr>
        <w:pStyle w:val="1139"/>
        <w:ind w:left="0" w:right="0" w:firstLine="567"/>
        <w:jc w:val="both"/>
        <w:tabs>
          <w:tab w:val="left" w:pos="142" w:leader="none"/>
          <w:tab w:val="left" w:pos="851" w:leader="none"/>
        </w:tabs>
        <w:rPr>
          <w:bCs/>
          <w:color w:val="000000"/>
          <w:sz w:val="26"/>
          <w:szCs w:val="26"/>
        </w:rPr>
      </w:pPr>
      <w:r>
        <w:rPr>
          <w:bCs/>
          <w:sz w:val="26"/>
          <w:szCs w:val="26"/>
        </w:rPr>
        <w:t xml:space="preserve">в) не должен находиться в процессе ликвидации, должно </w:t>
      </w:r>
      <w:r>
        <w:rPr>
          <w:bCs/>
          <w:sz w:val="26"/>
          <w:szCs w:val="26"/>
        </w:rPr>
        <w:t xml:space="preserve">отсутствовать решение арбитражного суда о признании участника закупки банкротом и об открытии конкурсного производства, на имущество участника, в части существенной для исполнения Договора, не должен быть наложен арест, экономическая деятельность участника</w:t>
      </w:r>
      <w:r>
        <w:rPr>
          <w:bCs/>
          <w:color w:val="000000"/>
          <w:sz w:val="26"/>
          <w:szCs w:val="26"/>
        </w:rPr>
        <w:t xml:space="preserve"> не должна быть приостановлена (для юридического лица, индивидуального предпринимателя);</w:t>
      </w:r>
      <w:r>
        <w:rPr>
          <w:bCs/>
          <w:color w:val="000000"/>
          <w:sz w:val="26"/>
          <w:szCs w:val="26"/>
        </w:rPr>
      </w:r>
      <w:r>
        <w:rPr>
          <w:bCs/>
          <w:color w:val="000000"/>
          <w:sz w:val="26"/>
          <w:szCs w:val="26"/>
        </w:rPr>
      </w:r>
    </w:p>
    <w:p>
      <w:pPr>
        <w:pStyle w:val="1139"/>
        <w:ind w:firstLine="567"/>
        <w:jc w:val="both"/>
        <w:tabs>
          <w:tab w:val="left" w:pos="0" w:leader="none"/>
          <w:tab w:val="left" w:pos="851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2.7.2.</w:t>
      </w:r>
      <w:r>
        <w:rPr>
          <w:bCs/>
          <w:sz w:val="26"/>
          <w:szCs w:val="26"/>
        </w:rPr>
        <w:t xml:space="preserve"> Дополнительно к требованиям пункта 2.7.1. </w:t>
      </w:r>
      <w:r>
        <w:rPr>
          <w:sz w:val="26"/>
          <w:szCs w:val="26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>
        <w:rPr>
          <w:bCs/>
          <w:sz w:val="26"/>
          <w:szCs w:val="26"/>
        </w:rPr>
        <w:t xml:space="preserve">требованиями: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tabs>
          <w:tab w:val="left" w:pos="0" w:leader="none"/>
          <w:tab w:val="left" w:pos="851" w:leader="none"/>
        </w:tabs>
        <w:rPr>
          <w:sz w:val="26"/>
          <w:szCs w:val="26"/>
        </w:rPr>
      </w:pPr>
      <w:r>
        <w:rPr>
          <w:bCs/>
          <w:sz w:val="26"/>
          <w:szCs w:val="26"/>
        </w:rPr>
      </w:r>
      <w:r>
        <w:rPr>
          <w:b w:val="0"/>
          <w:sz w:val="26"/>
          <w:szCs w:val="26"/>
        </w:rPr>
        <w:t xml:space="preserve">а) только для закупок с  наличием в предмете закупки проектн</w:t>
      </w:r>
      <w:r>
        <w:rPr>
          <w:b w:val="0"/>
          <w:sz w:val="26"/>
          <w:szCs w:val="26"/>
        </w:rPr>
        <w:t xml:space="preserve">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</w:t>
      </w:r>
      <w:r>
        <w:rPr>
          <w:b w:val="0"/>
          <w:sz w:val="26"/>
          <w:szCs w:val="26"/>
        </w:rPr>
        <w:t xml:space="preserve">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</w:t>
      </w:r>
      <w:r>
        <w:rPr>
          <w:b w:val="0"/>
          <w:sz w:val="26"/>
          <w:szCs w:val="26"/>
        </w:rPr>
        <w:t xml:space="preserve">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3"/>
        <w:ind w:firstLine="567"/>
        <w:jc w:val="both"/>
        <w:keepLines/>
        <w:keepNext/>
        <w:spacing w:line="240" w:lineRule="auto"/>
        <w:shd w:val="clear" w:color="auto" w:fill="auto"/>
        <w:tabs>
          <w:tab w:val="left" w:pos="250" w:leader="none"/>
        </w:tabs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б) наличие документов по охране труда в соответствии с Приказом Минтруда России от 15.12.2020 N 903н "Об утверждении Правил по о</w:t>
      </w:r>
      <w:r>
        <w:rPr>
          <w:b w:val="0"/>
          <w:sz w:val="26"/>
          <w:szCs w:val="26"/>
        </w:rPr>
        <w:t xml:space="preserve">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  <w:r>
        <w:rPr>
          <w:b w:val="0"/>
          <w:sz w:val="26"/>
          <w:szCs w:val="26"/>
        </w:rPr>
      </w:r>
      <w:r>
        <w:rPr>
          <w:b w:val="0"/>
          <w:sz w:val="26"/>
          <w:szCs w:val="26"/>
        </w:rPr>
      </w:r>
    </w:p>
    <w:p>
      <w:pPr>
        <w:pStyle w:val="1163"/>
        <w:ind w:firstLine="567"/>
        <w:jc w:val="both"/>
        <w:keepLines/>
        <w:keepNext/>
        <w:spacing w:line="240" w:lineRule="auto"/>
        <w:shd w:val="clear" w:color="auto" w:fill="auto"/>
        <w:tabs>
          <w:tab w:val="left" w:pos="250" w:leader="none"/>
        </w:tabs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в) соответствие объемов и номенклатуры работ требованиям ТЗ, в т.ч. соответствие сметного расчета утвержденной ПСД и требованиям по порядку формирования договорной цены. Непревышение ценовых лимитов ТЗ;</w:t>
      </w:r>
      <w:r>
        <w:rPr>
          <w:b w:val="0"/>
          <w:sz w:val="26"/>
          <w:szCs w:val="26"/>
        </w:rPr>
      </w:r>
      <w:r>
        <w:rPr>
          <w:b w:val="0"/>
          <w:sz w:val="26"/>
          <w:szCs w:val="26"/>
        </w:rPr>
      </w:r>
    </w:p>
    <w:p>
      <w:pPr>
        <w:pStyle w:val="1163"/>
        <w:ind w:firstLine="567"/>
        <w:jc w:val="both"/>
        <w:keepLines/>
        <w:keepNext/>
        <w:spacing w:line="240" w:lineRule="auto"/>
        <w:shd w:val="clear" w:color="auto" w:fill="auto"/>
        <w:tabs>
          <w:tab w:val="left" w:pos="250" w:leader="none"/>
        </w:tabs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г) соответствие сроков выполнения работ требованиям ТЗ;</w:t>
      </w:r>
      <w:r>
        <w:rPr>
          <w:b w:val="0"/>
          <w:sz w:val="26"/>
          <w:szCs w:val="26"/>
        </w:rPr>
      </w:r>
      <w:r>
        <w:rPr>
          <w:b w:val="0"/>
          <w:sz w:val="26"/>
          <w:szCs w:val="26"/>
        </w:rPr>
      </w:r>
    </w:p>
    <w:p>
      <w:pPr>
        <w:pStyle w:val="1163"/>
        <w:ind w:left="720" w:hanging="153"/>
        <w:jc w:val="both"/>
        <w:keepLines/>
        <w:keepNext/>
        <w:spacing w:line="240" w:lineRule="auto"/>
        <w:shd w:val="clear" w:color="auto" w:fill="auto"/>
        <w:tabs>
          <w:tab w:val="left" w:pos="250" w:leader="none"/>
        </w:tabs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д) соответствие условий оплаты требованиям ТЗ.</w:t>
      </w:r>
      <w:r>
        <w:rPr>
          <w:b w:val="0"/>
          <w:sz w:val="26"/>
          <w:szCs w:val="26"/>
        </w:rPr>
      </w:r>
      <w:r>
        <w:rPr>
          <w:b w:val="0"/>
          <w:sz w:val="26"/>
          <w:szCs w:val="26"/>
        </w:rPr>
      </w:r>
    </w:p>
    <w:p>
      <w:pPr>
        <w:pStyle w:val="1163"/>
        <w:ind w:left="720" w:hanging="153"/>
        <w:jc w:val="both"/>
        <w:keepLines/>
        <w:keepNext/>
        <w:spacing w:line="240" w:lineRule="auto"/>
        <w:shd w:val="clear" w:color="auto" w:fill="auto"/>
        <w:tabs>
          <w:tab w:val="left" w:pos="250" w:leader="none"/>
        </w:tabs>
        <w:rPr>
          <w:b w:val="0"/>
          <w:sz w:val="26"/>
          <w:szCs w:val="26"/>
        </w:rPr>
      </w:pPr>
      <w:r>
        <w:rPr>
          <w:b w:val="0"/>
          <w:sz w:val="26"/>
          <w:szCs w:val="26"/>
        </w:rPr>
      </w:r>
      <w:r>
        <w:rPr>
          <w:b w:val="0"/>
          <w:sz w:val="26"/>
          <w:szCs w:val="26"/>
        </w:rPr>
      </w:r>
      <w:r>
        <w:rPr>
          <w:b w:val="0"/>
          <w:sz w:val="26"/>
          <w:szCs w:val="26"/>
        </w:rPr>
      </w:r>
    </w:p>
    <w:p>
      <w:pPr>
        <w:pStyle w:val="1139"/>
        <w:jc w:val="both"/>
        <w:tabs>
          <w:tab w:val="left" w:pos="142" w:leader="none"/>
          <w:tab w:val="left" w:pos="851" w:leader="none"/>
        </w:tabs>
        <w:rPr>
          <w:bCs/>
          <w:sz w:val="26"/>
          <w:szCs w:val="26"/>
        </w:rPr>
      </w:pP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p>
      <w:pPr>
        <w:pStyle w:val="1139"/>
        <w:numPr>
          <w:ilvl w:val="0"/>
          <w:numId w:val="1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sz w:val="26"/>
          <w:szCs w:val="26"/>
        </w:rPr>
        <w:outlineLvl w:val="0"/>
      </w:pPr>
      <w:r>
        <w:rPr>
          <w:sz w:val="26"/>
          <w:szCs w:val="26"/>
        </w:rPr>
        <w:t xml:space="preserve">ПОРЯДОК ПРОВЕДЕНИЯ ЗАКУПКИ (ЭТАПОВ ЗАКУПКИ), ПОДВЕДЕНИЯ ИТОГОВ ЗАКУПКИ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1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</w:t>
      </w:r>
      <w:r>
        <w:rPr>
          <w:sz w:val="26"/>
          <w:szCs w:val="26"/>
        </w:rPr>
        <w:t xml:space="preserve">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>
        <w:rPr>
          <w:sz w:val="26"/>
          <w:szCs w:val="26"/>
        </w:rPr>
        <w:t xml:space="preserve">Интернет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1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</w:t>
      </w:r>
      <w:r>
        <w:rPr>
          <w:sz w:val="26"/>
          <w:szCs w:val="26"/>
        </w:rP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1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Заявка подлежит отклонению в случаях, если: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left="0" w:righ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а) участник не соответствует требованиям к участнику закупки, установленным в приглашении к участию в закупке способом сравнения цен;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left="0" w:righ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б) 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left="0" w:righ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в) 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left="0" w:righ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г) превышения цены заявки над НМЦ / превышения стоимости единичных расценок (либо какой-либо е</w:t>
      </w:r>
      <w:r>
        <w:rPr>
          <w:sz w:val="26"/>
          <w:szCs w:val="26"/>
        </w:rPr>
        <w:t xml:space="preserve">диничной расценки)/превышения отдельных стоимостных позиций (например, превышения стоимости поставки оборудования или стоимости его монтажа)/ превышения стоимостей отдельных договоров, если по результатам закупки будет заключено несколько договоров и т.п.;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left="0" w:righ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д) 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left="0" w:righ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е) 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rPr>
          <w:sz w:val="26"/>
          <w:szCs w:val="26"/>
        </w:rP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left="0" w:righ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ж) 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left="0" w:righ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з) 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left="0" w:righ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и) 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left="0" w:righ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к) 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left="0" w:righ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л) 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</w:t>
      </w:r>
      <w:r>
        <w:rPr>
          <w:sz w:val="26"/>
          <w:szCs w:val="26"/>
        </w:rPr>
        <w:t xml:space="preserve">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1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rPr>
          <w:sz w:val="26"/>
          <w:szCs w:val="26"/>
        </w:rP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1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1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 основании результатов рассмотрения заявок принимается решение: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left="0" w:righ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а) о признании участника и/или заявки участника соответствующими требованиям приглашения к участию в закупке способом сравнения цен;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left="0" w:righ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б) 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1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 результатам рассмотрения заявок участников соста</w:t>
      </w:r>
      <w:r>
        <w:rPr>
          <w:sz w:val="26"/>
          <w:szCs w:val="26"/>
        </w:rPr>
        <w:t xml:space="preserve">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1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Заявке участника закупки, в</w:t>
      </w:r>
      <w:r>
        <w:rPr>
          <w:sz w:val="26"/>
          <w:szCs w:val="26"/>
        </w:rPr>
        <w:t xml:space="preserve">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1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1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Если до заключения договора </w:t>
      </w:r>
      <w:r>
        <w:rPr>
          <w:sz w:val="26"/>
          <w:szCs w:val="26"/>
        </w:rPr>
        <w:t xml:space="preserve">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</w:t>
      </w:r>
      <w:r>
        <w:rPr>
          <w:sz w:val="26"/>
          <w:szCs w:val="26"/>
        </w:rPr>
        <w:t xml:space="preserve">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1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1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>
        <w:rPr>
          <w:b/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Независимо от формы проведения закупки, информация об отказе от проведения закупки отражается в Аналитической записке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1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firstLine="502"/>
        <w:jc w:val="both"/>
        <w:tabs>
          <w:tab w:val="left" w:pos="142" w:leader="none"/>
          <w:tab w:val="center" w:pos="1134" w:leader="none"/>
        </w:tabs>
      </w:pPr>
      <w:r>
        <w:t xml:space="preserve"> </w:t>
      </w:r>
      <w:r>
        <w:rPr>
          <w:sz w:val="26"/>
          <w:szCs w:val="26"/>
        </w:rPr>
        <w:t xml:space="preserve">3.14.</w:t>
      </w:r>
      <w:r>
        <w:t xml:space="preserve"> </w:t>
      </w:r>
      <w:r>
        <w:rPr>
          <w:sz w:val="26"/>
          <w:szCs w:val="26"/>
        </w:rPr>
        <w:t xml:space="preserve">В случ</w:t>
      </w:r>
      <w:r>
        <w:rPr>
          <w:sz w:val="26"/>
          <w:szCs w:val="26"/>
        </w:rPr>
        <w:t xml:space="preserve">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>
        <w:rPr>
          <w:rStyle w:val="1161"/>
          <w:sz w:val="26"/>
          <w:szCs w:val="26"/>
        </w:rPr>
        <w:footnoteReference w:id="2"/>
      </w:r>
      <w:r>
        <w:rPr>
          <w:sz w:val="26"/>
          <w:szCs w:val="26"/>
        </w:rPr>
        <w:t xml:space="preserve">, таким участником предоставляется обеспечение исполнения договора в следующем размере:</w:t>
      </w:r>
      <w:r/>
    </w:p>
    <w:p>
      <w:pPr>
        <w:pStyle w:val="1139"/>
        <w:ind w:left="567"/>
        <w:jc w:val="both"/>
        <w:tabs>
          <w:tab w:val="left" w:pos="142" w:leader="none"/>
          <w:tab w:val="center" w:pos="1134" w:leader="none"/>
        </w:tabs>
      </w:pPr>
      <w:r/>
      <w:r/>
    </w:p>
    <w:tbl>
      <w:tblPr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9"/>
        <w:gridCol w:w="2253"/>
        <w:gridCol w:w="2284"/>
        <w:gridCol w:w="2253"/>
        <w:gridCol w:w="23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3" w:type="pct"/>
            <w:vAlign w:val="top"/>
            <w:vMerge w:val="restart"/>
            <w:textDirection w:val="lrTb"/>
            <w:noWrap w:val="false"/>
          </w:tcPr>
          <w:p>
            <w:pPr>
              <w:pStyle w:val="11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W w:w="3495" w:type="pct"/>
            <w:vAlign w:val="top"/>
            <w:textDirection w:val="lrTb"/>
            <w:noWrap w:val="false"/>
          </w:tcPr>
          <w:p>
            <w:pPr>
              <w:pStyle w:val="113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Матрица договорных условий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01" w:type="pct"/>
            <w:vAlign w:val="top"/>
            <w:vMerge w:val="restart"/>
            <w:textDirection w:val="lrTb"/>
            <w:noWrap w:val="false"/>
          </w:tcPr>
          <w:p>
            <w:pPr>
              <w:pStyle w:val="11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обеспечения исполнения договора в случае подачи участником закупки аномально низкого ценового предложения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3" w:type="pct"/>
            <w:vAlign w:val="top"/>
            <w:vMerge w:val="continue"/>
            <w:textDirection w:val="lrTb"/>
            <w:noWrap w:val="false"/>
          </w:tcPr>
          <w:p>
            <w:pPr>
              <w:pStyle w:val="1139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Требование по обеспечению исполнения договора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11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Авансирование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на возврат авансового платежа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01" w:type="pct"/>
            <w:vAlign w:val="top"/>
            <w:vMerge w:val="continue"/>
            <w:textDirection w:val="lrTb"/>
            <w:noWrap w:val="false"/>
          </w:tcPr>
          <w:p>
            <w:pPr>
              <w:pStyle w:val="1139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11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3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113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3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113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>
              <w:rPr>
                <w:i/>
                <w:sz w:val="18"/>
                <w:szCs w:val="18"/>
              </w:rPr>
              <w:t xml:space="preserve"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11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3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113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3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113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11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3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113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3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113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11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3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113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3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113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11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3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113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3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113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увеличенное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11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3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113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3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113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pStyle w:val="1139"/>
        <w:ind w:left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0"/>
          <w:numId w:val="1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sz w:val="26"/>
          <w:szCs w:val="26"/>
        </w:rPr>
        <w:outlineLvl w:val="0"/>
      </w:pPr>
      <w:r>
        <w:rPr>
          <w:sz w:val="26"/>
          <w:szCs w:val="26"/>
        </w:rPr>
        <w:t xml:space="preserve">ПОРЯДОК ЗАКЛЮЧЕНИЯ ДОГОВОРА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left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sz w:val="26"/>
          <w:szCs w:val="26"/>
        </w:rPr>
        <w:outlineLvl w:val="0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1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1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1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Заказчик вправе заключить договор с участником закупки, кото</w:t>
      </w:r>
      <w:r>
        <w:rPr>
          <w:sz w:val="26"/>
          <w:szCs w:val="26"/>
        </w:rPr>
        <w:t xml:space="preserve">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ind w:left="567"/>
        <w:jc w:val="both"/>
        <w:tabs>
          <w:tab w:val="left" w:pos="142" w:leader="none"/>
          <w:tab w:val="center" w:pos="1134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50"/>
        <w:ind w:firstLine="0"/>
        <w:spacing w:before="6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5.</w:t>
      </w:r>
      <w:r>
        <w:rPr>
          <w:sz w:val="26"/>
          <w:szCs w:val="26"/>
        </w:rPr>
        <w:t xml:space="preserve"> ПРИЛОЖЕНИЯ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50"/>
        <w:numPr>
          <w:ilvl w:val="0"/>
          <w:numId w:val="12"/>
        </w:numPr>
        <w:ind w:left="0" w:right="0" w:firstLine="510"/>
        <w:jc w:val="left"/>
        <w:spacing w:before="51" w:beforeAutospacing="0" w:after="51" w:afterAutospacing="0" w:line="233" w:lineRule="auto"/>
        <w:rPr>
          <w:sz w:val="26"/>
          <w:szCs w:val="26"/>
        </w:rPr>
        <w:suppressLineNumbers w:val="0"/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Приложение №1 </w:t>
      </w: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 xml:space="preserve">Количество и </w:t>
      </w:r>
      <w:r>
        <w:rPr>
          <w:b w:val="0"/>
          <w:bCs w:val="0"/>
          <w:color w:val="000000"/>
          <w:sz w:val="26"/>
          <w:szCs w:val="26"/>
        </w:rPr>
        <w:t xml:space="preserve">начальная (максимальная) цена п</w:t>
      </w:r>
      <w:r>
        <w:rPr>
          <w:b w:val="0"/>
          <w:bCs w:val="0"/>
          <w:sz w:val="26"/>
          <w:szCs w:val="26"/>
        </w:rPr>
        <w:t xml:space="preserve">оставляемого товара</w:t>
      </w:r>
      <w:r>
        <w:rPr>
          <w:b w:val="0"/>
          <w:bCs w:val="0"/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50"/>
        <w:numPr>
          <w:ilvl w:val="0"/>
          <w:numId w:val="12"/>
        </w:numPr>
        <w:ind w:left="0" w:right="0" w:firstLine="510"/>
        <w:rPr>
          <w:sz w:val="26"/>
          <w:szCs w:val="26"/>
        </w:rPr>
        <w:suppressLineNumbers w:val="0"/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Приложение №2 </w:t>
      </w: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 xml:space="preserve"> Проект договора.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numPr>
          <w:ilvl w:val="0"/>
          <w:numId w:val="12"/>
        </w:numPr>
        <w:contextualSpacing/>
        <w:ind w:left="0" w:right="0" w:firstLine="510"/>
        <w:spacing w:line="240" w:lineRule="atLeast"/>
        <w:rPr>
          <w:sz w:val="26"/>
          <w:szCs w:val="26"/>
        </w:rPr>
        <w:suppressLineNumbers w:val="0"/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Приложение №3 – Формы для заполнения.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contextualSpacing/>
        <w:ind w:left="0" w:right="0" w:firstLine="567"/>
        <w:spacing w:line="240" w:lineRule="atLeast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9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1150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Начальник ОМТО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50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филиала ПАО «Россети Московской регион»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50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Южные электрические сети</w:t>
        <w:tab/>
        <w:tab/>
        <w:t xml:space="preserve">    </w:t>
        <w:tab/>
        <w:tab/>
        <w:tab/>
        <w:tab/>
        <w:tab/>
        <w:t xml:space="preserve">   Е.А. Черных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48"/>
        <w:ind w:left="0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8"/>
        <w:ind w:left="0"/>
        <w:spacing w:before="0" w:beforeAutospacing="0" w:after="0" w:afterAutospacing="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148"/>
        <w:ind w:left="0"/>
        <w:spacing w:before="0" w:beforeAutospacing="0" w:after="0" w:afterAutospacing="0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Исп</w:t>
      </w:r>
      <w:r>
        <w:rPr>
          <w:sz w:val="24"/>
          <w:szCs w:val="24"/>
        </w:rPr>
        <w:t xml:space="preserve">. Цветкова О.Е.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148"/>
        <w:ind w:left="0"/>
        <w:spacing w:before="0" w:beforeAutospacing="0" w:after="0" w:afterAutospacing="0"/>
        <w:rPr>
          <w:sz w:val="26"/>
          <w:szCs w:val="26"/>
        </w:rPr>
      </w:pPr>
      <w:r>
        <w:rPr>
          <w:sz w:val="24"/>
          <w:szCs w:val="24"/>
          <w:lang w:val="en-US"/>
        </w:rPr>
        <w:t xml:space="preserve">(926</w:t>
      </w:r>
      <w:r>
        <w:rPr>
          <w:sz w:val="24"/>
          <w:szCs w:val="24"/>
          <w:lang w:val="en-US"/>
        </w:rPr>
        <w:t xml:space="preserve">) 954</w:t>
      </w:r>
      <w:r>
        <w:rPr>
          <w:sz w:val="24"/>
          <w:szCs w:val="24"/>
          <w:lang w:val="en-US"/>
        </w:rPr>
        <w:t xml:space="preserve">-89</w:t>
      </w:r>
      <w:r>
        <w:rPr>
          <w:sz w:val="24"/>
          <w:szCs w:val="24"/>
          <w:lang w:val="en-US"/>
        </w:rPr>
        <w:t xml:space="preserve">-</w:t>
      </w:r>
      <w:r>
        <w:rPr>
          <w:sz w:val="24"/>
          <w:szCs w:val="24"/>
          <w:lang w:val="en-US"/>
        </w:rPr>
        <w:t xml:space="preserve">27</w:t>
      </w:r>
      <w:r>
        <w:rPr>
          <w:sz w:val="26"/>
          <w:szCs w:val="26"/>
        </w:rPr>
      </w:r>
      <w:r>
        <w:rPr>
          <w:sz w:val="26"/>
          <w:szCs w:val="26"/>
        </w:rPr>
      </w:r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276" w:right="709" w:bottom="567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Calibri Light">
    <w:panose1 w:val="020F0302020204030204"/>
  </w:font>
  <w:font w:name="Calibri">
    <w:panose1 w:val="020F0502020204030204"/>
  </w:font>
  <w:font w:name="Cambria">
    <w:panose1 w:val="02040503050406030204"/>
  </w:font>
  <w:font w:name="Liberation Sans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159"/>
        <w:rPr>
          <w:lang w:val="ru-RU"/>
        </w:rPr>
      </w:pPr>
      <w:r>
        <w:rPr>
          <w:rStyle w:val="1161"/>
        </w:rPr>
        <w:footnoteRef/>
      </w:r>
      <w:r>
        <w:t xml:space="preserve"> Под аномально низким ценовым предложением (демпингом) считать снижение цены заявки участника относительн</w:t>
      </w:r>
      <w:r>
        <w:t xml:space="preserve">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  <w:r>
        <w:rPr>
          <w:lang w:val="ru-RU"/>
        </w:rPr>
      </w:r>
      <w:r>
        <w:rPr>
          <w:lang w:val="ru-RU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4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13</w:t>
    </w:r>
    <w:r>
      <w:fldChar w:fldCharType="end"/>
    </w:r>
    <w:r/>
  </w:p>
  <w:p>
    <w:pPr>
      <w:pStyle w:val="114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44"/>
    </w:pPr>
    <w:r>
      <w:rPr>
        <w:lang w:val="ru-RU"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8247" behindDoc="0" locked="0" layoutInCell="1" allowOverlap="1">
              <wp:simplePos x="0" y="0"/>
              <wp:positionH relativeFrom="column">
                <wp:posOffset>1285240</wp:posOffset>
              </wp:positionH>
              <wp:positionV relativeFrom="paragraph">
                <wp:posOffset>686435</wp:posOffset>
              </wp:positionV>
              <wp:extent cx="1285240" cy="285115"/>
              <wp:effectExtent l="0" t="0" r="0" b="0"/>
              <wp:wrapNone/>
              <wp:docPr id="1" name="_x0000_s20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285240" cy="285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39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 xml:space="preserve">Ю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ЭС/</w:t>
                          </w:r>
                          <w:r>
                            <w:rPr>
                              <w:sz w:val="22"/>
                              <w:szCs w:val="22"/>
                            </w:rPr>
                          </w:r>
                          <w:r>
                            <w:rPr>
                              <w:sz w:val="22"/>
                              <w:szCs w:val="22"/>
                            </w:rPr>
                          </w:r>
                        </w:p>
                        <w:p>
                          <w:pPr>
                            <w:pStyle w:val="1139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251658247;o:allowoverlap:true;o:allowincell:true;mso-position-horizontal-relative:text;margin-left:101.20pt;mso-position-horizontal:absolute;mso-position-vertical-relative:text;margin-top:54.05pt;mso-position-vertical:absolute;width:101.20pt;height:22.45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pStyle w:val="1139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Ю</w:t>
                    </w:r>
                    <w:r>
                      <w:rPr>
                        <w:sz w:val="22"/>
                        <w:szCs w:val="22"/>
                      </w:rPr>
                      <w:t xml:space="preserve">ЭС/</w:t>
                    </w:r>
                    <w:r>
                      <w:rPr>
                        <w:sz w:val="22"/>
                        <w:szCs w:val="22"/>
                      </w:rPr>
                    </w:r>
                    <w:r>
                      <w:rPr>
                        <w:sz w:val="22"/>
                        <w:szCs w:val="22"/>
                      </w:rPr>
                    </w:r>
                  </w:p>
                  <w:p>
                    <w:pPr>
                      <w:pStyle w:val="1139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0609655" behindDoc="1" locked="0" layoutInCell="1" allowOverlap="1">
              <wp:simplePos x="0" y="0"/>
              <wp:positionH relativeFrom="column">
                <wp:posOffset>-1077594</wp:posOffset>
              </wp:positionH>
              <wp:positionV relativeFrom="paragraph">
                <wp:posOffset>-450214</wp:posOffset>
              </wp:positionV>
              <wp:extent cx="7614285" cy="1630680"/>
              <wp:effectExtent l="0" t="0" r="0" b="0"/>
              <wp:wrapTight wrapText="bothSides">
                <wp:wrapPolygon edited="1">
                  <wp:start x="-27" y="0"/>
                  <wp:lineTo x="-27" y="21474"/>
                  <wp:lineTo x="21600" y="21474"/>
                  <wp:lineTo x="21600" y="0"/>
                  <wp:lineTo x="-27" y="0"/>
                </wp:wrapPolygon>
              </wp:wrapTight>
              <wp:docPr id="2" name="_x0000_s2085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7614285" cy="1630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" o:spid="_x0000_s1" type="#_x0000_t75" style="position:absolute;z-index:-250609655;o:allowoverlap:true;o:allowincell:true;mso-position-horizontal-relative:text;margin-left:-84.85pt;mso-position-horizontal:absolute;mso-position-vertical-relative:text;margin-top:-35.45pt;mso-position-vertical:absolute;width:599.55pt;height:128.40pt;mso-wrap-distance-left:9.00pt;mso-wrap-distance-top:0.00pt;mso-wrap-distance-right:9.00pt;mso-wrap-distance-bottom:0.00pt;" wrapcoords="-124 0 -124 99417 100000 99417 100000 0 -124 0" stroked="f">
              <v:path textboxrect="0,0,0,0"/>
              <w10:wrap type="tight"/>
              <v:imagedata r:id="rId1" o:title=""/>
            </v:shape>
          </w:pict>
        </mc:Fallback>
      </mc:AlternateContent>
    </w:r>
    <w:r>
      <w:rPr>
        <w:lang w:val="ru-RU"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8244" behindDoc="0" locked="0" layoutInCell="1" allowOverlap="1">
              <wp:simplePos x="0" y="0"/>
              <wp:positionH relativeFrom="column">
                <wp:posOffset>3550920</wp:posOffset>
              </wp:positionH>
              <wp:positionV relativeFrom="paragraph">
                <wp:posOffset>1336040</wp:posOffset>
              </wp:positionV>
              <wp:extent cx="2443480" cy="1490980"/>
              <wp:effectExtent l="0" t="0" r="0" b="0"/>
              <wp:wrapNone/>
              <wp:docPr id="3" name="_x0000_s20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2443480" cy="1490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39"/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Руководителям организаций</w:t>
                          </w:r>
                          <w:r>
                            <w:rPr>
                              <w:sz w:val="28"/>
                              <w:szCs w:val="28"/>
                              <w:lang w:val="en-US"/>
                            </w:rPr>
                          </w:r>
                          <w:r>
                            <w:rPr>
                              <w:sz w:val="28"/>
                              <w:szCs w:val="28"/>
                              <w:lang w:val="en-US"/>
                            </w:rPr>
                          </w:r>
                        </w:p>
                        <w:p>
                          <w:pPr>
                            <w:pStyle w:val="1139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2" o:spid="_x0000_s2" o:spt="1" type="#_x0000_t1" style="position:absolute;z-index:251658244;o:allowoverlap:true;o:allowincell:true;mso-position-horizontal-relative:text;margin-left:279.60pt;mso-position-horizontal:absolute;mso-position-vertical-relative:text;margin-top:105.20pt;mso-position-vertical:absolute;width:192.40pt;height:117.40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pStyle w:val="1139"/>
                      <w:rPr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Руководителям организаций</w:t>
                    </w:r>
                    <w:r>
                      <w:rPr>
                        <w:sz w:val="28"/>
                        <w:szCs w:val="28"/>
                        <w:lang w:val="en-US"/>
                      </w:rPr>
                    </w:r>
                    <w:r>
                      <w:rPr>
                        <w:sz w:val="28"/>
                        <w:szCs w:val="28"/>
                        <w:lang w:val="en-US"/>
                      </w:rPr>
                    </w:r>
                  </w:p>
                  <w:p>
                    <w:pPr>
                      <w:pStyle w:val="1139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8248" behindDoc="0" locked="0" layoutInCell="1" allowOverlap="1">
              <wp:simplePos x="0" y="0"/>
              <wp:positionH relativeFrom="column">
                <wp:posOffset>1285240</wp:posOffset>
              </wp:positionH>
              <wp:positionV relativeFrom="paragraph">
                <wp:posOffset>930910</wp:posOffset>
              </wp:positionV>
              <wp:extent cx="847090" cy="285115"/>
              <wp:effectExtent l="0" t="0" r="0" b="0"/>
              <wp:wrapNone/>
              <wp:docPr id="4" name="_x0000_s20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847090" cy="285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39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</w:r>
                          <w:r>
                            <w:rPr>
                              <w:sz w:val="22"/>
                              <w:szCs w:val="22"/>
                            </w:rPr>
                          </w:r>
                          <w:r>
                            <w:rPr>
                              <w:sz w:val="22"/>
                              <w:szCs w:val="22"/>
                            </w:rPr>
                          </w:r>
                        </w:p>
                        <w:p>
                          <w:pPr>
                            <w:pStyle w:val="1139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3" o:spid="_x0000_s3" o:spt="1" type="#_x0000_t1" style="position:absolute;z-index:251658248;o:allowoverlap:true;o:allowincell:true;mso-position-horizontal-relative:text;margin-left:101.20pt;mso-position-horizontal:absolute;mso-position-vertical-relative:text;margin-top:73.30pt;mso-position-vertical:absolute;width:66.70pt;height:22.45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pStyle w:val="1139"/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</w:r>
                    <w:r>
                      <w:rPr>
                        <w:sz w:val="22"/>
                        <w:szCs w:val="22"/>
                      </w:rPr>
                    </w:r>
                    <w:r>
                      <w:rPr>
                        <w:sz w:val="22"/>
                        <w:szCs w:val="22"/>
                      </w:rPr>
                    </w:r>
                  </w:p>
                  <w:p>
                    <w:pPr>
                      <w:pStyle w:val="1139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8246" behindDoc="0" locked="0" layoutInCell="1" allowOverlap="1">
              <wp:simplePos x="0" y="0"/>
              <wp:positionH relativeFrom="column">
                <wp:posOffset>126365</wp:posOffset>
              </wp:positionH>
              <wp:positionV relativeFrom="paragraph">
                <wp:posOffset>930910</wp:posOffset>
              </wp:positionV>
              <wp:extent cx="847090" cy="285115"/>
              <wp:effectExtent l="0" t="0" r="0" b="0"/>
              <wp:wrapNone/>
              <wp:docPr id="5" name="_x0000_s20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847090" cy="285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39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</w:r>
                          <w:r>
                            <w:rPr>
                              <w:sz w:val="22"/>
                              <w:szCs w:val="22"/>
                            </w:rPr>
                          </w:r>
                          <w:r>
                            <w:rPr>
                              <w:sz w:val="22"/>
                              <w:szCs w:val="22"/>
                            </w:rPr>
                          </w:r>
                        </w:p>
                        <w:p>
                          <w:pPr>
                            <w:pStyle w:val="1139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4" o:spid="_x0000_s4" o:spt="1" type="#_x0000_t1" style="position:absolute;z-index:251658246;o:allowoverlap:true;o:allowincell:true;mso-position-horizontal-relative:text;margin-left:9.95pt;mso-position-horizontal:absolute;mso-position-vertical-relative:text;margin-top:73.30pt;mso-position-vertical:absolute;width:66.70pt;height:22.45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pStyle w:val="1139"/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</w:r>
                    <w:r>
                      <w:rPr>
                        <w:sz w:val="22"/>
                        <w:szCs w:val="22"/>
                      </w:rPr>
                    </w:r>
                    <w:r>
                      <w:rPr>
                        <w:sz w:val="22"/>
                        <w:szCs w:val="22"/>
                      </w:rPr>
                    </w:r>
                  </w:p>
                  <w:p>
                    <w:pPr>
                      <w:pStyle w:val="1139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8245" behindDoc="0" locked="0" layoutInCell="1" allowOverlap="1">
              <wp:simplePos x="0" y="0"/>
              <wp:positionH relativeFrom="column">
                <wp:posOffset>126365</wp:posOffset>
              </wp:positionH>
              <wp:positionV relativeFrom="paragraph">
                <wp:posOffset>686435</wp:posOffset>
              </wp:positionV>
              <wp:extent cx="847090" cy="285115"/>
              <wp:effectExtent l="0" t="0" r="0" b="0"/>
              <wp:wrapNone/>
              <wp:docPr id="6" name="_x0000_s20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847090" cy="285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39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</w:r>
                          <w:r>
                            <w:rPr>
                              <w:sz w:val="22"/>
                              <w:szCs w:val="22"/>
                            </w:rPr>
                          </w:r>
                          <w:r>
                            <w:rPr>
                              <w:sz w:val="22"/>
                              <w:szCs w:val="22"/>
                            </w:rPr>
                          </w:r>
                        </w:p>
                        <w:p>
                          <w:pPr>
                            <w:pStyle w:val="1139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5" o:spid="_x0000_s5" o:spt="1" type="#_x0000_t1" style="position:absolute;z-index:251658245;o:allowoverlap:true;o:allowincell:true;mso-position-horizontal-relative:text;margin-left:9.95pt;mso-position-horizontal:absolute;mso-position-vertical-relative:text;margin-top:54.05pt;mso-position-vertical:absolute;width:66.70pt;height:22.45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pStyle w:val="1139"/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</w:r>
                    <w:r>
                      <w:rPr>
                        <w:sz w:val="22"/>
                        <w:szCs w:val="22"/>
                      </w:rPr>
                    </w:r>
                    <w:r>
                      <w:rPr>
                        <w:sz w:val="22"/>
                        <w:szCs w:val="22"/>
                      </w:rPr>
                    </w:r>
                  </w:p>
                  <w:p>
                    <w:pPr>
                      <w:pStyle w:val="1139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8243" behindDoc="0" locked="0" layoutInCell="1" allowOverlap="1">
              <wp:simplePos x="0" y="0"/>
              <wp:positionH relativeFrom="column">
                <wp:posOffset>-29209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7" name="_x0000_s20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39"/>
                            <w:jc w:val="center"/>
                          </w:pPr>
                          <w:r/>
                          <w:r/>
                        </w:p>
                        <w:p>
                          <w:pPr>
                            <w:pStyle w:val="1139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6" o:spid="_x0000_s6" o:spt="1" type="#_x0000_t1" style="position:absolute;z-index:251658243;o:allowoverlap:true;o:allowincell:true;mso-position-horizontal-relative:text;margin-left:-2.30pt;mso-position-horizontal:absolute;mso-position-vertical-relative:text;margin-top:140.95pt;mso-position-vertical:absolute;width:83.75pt;height:23.90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pStyle w:val="1139"/>
                      <w:jc w:val="center"/>
                    </w:pPr>
                    <w:r/>
                    <w:r/>
                  </w:p>
                  <w:p>
                    <w:pPr>
                      <w:pStyle w:val="1139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8242" behindDoc="0" locked="0" layoutInCell="1" allowOverlap="1">
              <wp:simplePos x="0" y="0"/>
              <wp:positionH relativeFrom="column">
                <wp:posOffset>1542415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8" name="_x0000_s20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39"/>
                            <w:jc w:val="center"/>
                          </w:pPr>
                          <w:r/>
                          <w:r/>
                        </w:p>
                        <w:p>
                          <w:pPr>
                            <w:pStyle w:val="1139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7" o:spid="_x0000_s7" o:spt="1" type="#_x0000_t1" style="position:absolute;z-index:251658242;o:allowoverlap:true;o:allowincell:true;mso-position-horizontal-relative:text;margin-left:121.45pt;mso-position-horizontal:absolute;mso-position-vertical-relative:text;margin-top:140.95pt;mso-position-vertical:absolute;width:83.75pt;height:23.90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pStyle w:val="1139"/>
                      <w:jc w:val="center"/>
                    </w:pPr>
                    <w:r/>
                    <w:r/>
                  </w:p>
                  <w:p>
                    <w:pPr>
                      <w:pStyle w:val="1139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<wp:simplePos x="0" y="0"/>
              <wp:positionH relativeFrom="column">
                <wp:posOffset>113665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9" name="_x0000_s2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39"/>
                            <w:jc w:val="center"/>
                          </w:pPr>
                          <w:r/>
                          <w:r/>
                        </w:p>
                        <w:p>
                          <w:pPr>
                            <w:pStyle w:val="1139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8" o:spid="_x0000_s8" o:spt="1" type="#_x0000_t1" style="position:absolute;z-index:251658241;o:allowoverlap:true;o:allowincell:true;mso-position-horizontal-relative:text;margin-left:8.95pt;mso-position-horizontal:absolute;mso-position-vertical-relative:text;margin-top:164.85pt;mso-position-vertical:absolute;width:83.75pt;height:23.90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pStyle w:val="1139"/>
                      <w:jc w:val="center"/>
                    </w:pPr>
                    <w:r/>
                    <w:r/>
                  </w:p>
                  <w:p>
                    <w:pPr>
                      <w:pStyle w:val="1139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1466215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10" name="_x0000_s20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39"/>
                            <w:jc w:val="center"/>
                          </w:pPr>
                          <w:r/>
                          <w:r/>
                        </w:p>
                        <w:p>
                          <w:pPr>
                            <w:pStyle w:val="1139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9" o:spid="_x0000_s9" o:spt="1" type="#_x0000_t1" style="position:absolute;z-index:524288;o:allowoverlap:true;o:allowincell:true;mso-position-horizontal-relative:text;margin-left:115.45pt;mso-position-horizontal:absolute;mso-position-vertical-relative:text;margin-top:164.85pt;mso-position-vertical:absolute;width:83.75pt;height:23.90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pStyle w:val="1139"/>
                      <w:jc w:val="center"/>
                    </w:pPr>
                    <w:r/>
                    <w:r/>
                  </w:p>
                  <w:p>
                    <w:pPr>
                      <w:pStyle w:val="1139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</w:lvl>
    <w:lvl w:ilvl="2">
      <w:start w:val="4"/>
      <w:numFmt w:val="decimal"/>
      <w:isLgl w:val="false"/>
      <w:suff w:val="tab"/>
      <w:lvlText w:val="%1.%2.%3."/>
      <w:lvlJc w:val="left"/>
      <w:pPr>
        <w:ind w:left="171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10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</w:lvl>
  </w:abstractNum>
  <w:abstractNum w:abstractNumId="2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thaiNumbers"/>
      <w:isLgl w:val="false"/>
      <w:suff w:val="tab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502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8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</w:lvl>
  </w:abstractNum>
  <w:abstractNum w:abstractNumId="10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8"/>
  </w:num>
  <w:num w:numId="8">
    <w:abstractNumId w:val="5"/>
  </w:num>
  <w:num w:numId="9">
    <w:abstractNumId w:val="0"/>
  </w:num>
  <w:num w:numId="10">
    <w:abstractNumId w:val="9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61">
    <w:name w:val="Heading 1"/>
    <w:basedOn w:val="1139"/>
    <w:next w:val="1139"/>
    <w:link w:val="962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962">
    <w:name w:val="Heading 1 Char"/>
    <w:link w:val="961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963">
    <w:name w:val="Heading 2"/>
    <w:basedOn w:val="1139"/>
    <w:next w:val="1139"/>
    <w:link w:val="964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964">
    <w:name w:val="Heading 2 Char"/>
    <w:link w:val="963"/>
    <w:uiPriority w:val="9"/>
    <w:rPr>
      <w:rFonts w:ascii="Liberation Sans" w:hAnsi="Liberation Sans" w:eastAsia="Liberation Sans" w:cs="Liberation Sans"/>
      <w:sz w:val="34"/>
    </w:rPr>
  </w:style>
  <w:style w:type="paragraph" w:styleId="965">
    <w:name w:val="Heading 3"/>
    <w:basedOn w:val="1139"/>
    <w:next w:val="1139"/>
    <w:link w:val="966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966">
    <w:name w:val="Heading 3 Char"/>
    <w:link w:val="965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967">
    <w:name w:val="Heading 4"/>
    <w:basedOn w:val="1139"/>
    <w:next w:val="1139"/>
    <w:link w:val="968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968">
    <w:name w:val="Heading 4 Char"/>
    <w:link w:val="967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969">
    <w:name w:val="Heading 5"/>
    <w:basedOn w:val="1139"/>
    <w:next w:val="1139"/>
    <w:link w:val="970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970">
    <w:name w:val="Heading 5 Char"/>
    <w:link w:val="96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971">
    <w:name w:val="Heading 6"/>
    <w:basedOn w:val="1139"/>
    <w:next w:val="1139"/>
    <w:link w:val="972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972">
    <w:name w:val="Heading 6 Char"/>
    <w:link w:val="971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973">
    <w:name w:val="Heading 7"/>
    <w:basedOn w:val="1139"/>
    <w:next w:val="1139"/>
    <w:link w:val="974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974">
    <w:name w:val="Heading 7 Char"/>
    <w:link w:val="973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975">
    <w:name w:val="Heading 8"/>
    <w:basedOn w:val="1139"/>
    <w:next w:val="1139"/>
    <w:link w:val="976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976">
    <w:name w:val="Heading 8 Char"/>
    <w:link w:val="975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977">
    <w:name w:val="Heading 9"/>
    <w:basedOn w:val="1139"/>
    <w:next w:val="1139"/>
    <w:link w:val="978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978">
    <w:name w:val="Heading 9 Char"/>
    <w:link w:val="977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979">
    <w:name w:val="List Paragraph"/>
    <w:basedOn w:val="1139"/>
    <w:uiPriority w:val="34"/>
    <w:qFormat/>
    <w:pPr>
      <w:contextualSpacing/>
      <w:ind w:left="720"/>
    </w:pPr>
  </w:style>
  <w:style w:type="paragraph" w:styleId="980">
    <w:name w:val="No Spacing"/>
    <w:uiPriority w:val="1"/>
    <w:qFormat/>
    <w:pPr>
      <w:spacing w:before="0" w:after="0" w:line="240" w:lineRule="auto"/>
    </w:pPr>
  </w:style>
  <w:style w:type="paragraph" w:styleId="981">
    <w:name w:val="Title"/>
    <w:basedOn w:val="1139"/>
    <w:next w:val="1139"/>
    <w:link w:val="98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82">
    <w:name w:val="Title Char"/>
    <w:link w:val="981"/>
    <w:uiPriority w:val="10"/>
    <w:rPr>
      <w:sz w:val="48"/>
      <w:szCs w:val="48"/>
    </w:rPr>
  </w:style>
  <w:style w:type="paragraph" w:styleId="983">
    <w:name w:val="Subtitle"/>
    <w:basedOn w:val="1139"/>
    <w:next w:val="1139"/>
    <w:link w:val="984"/>
    <w:uiPriority w:val="11"/>
    <w:qFormat/>
    <w:pPr>
      <w:spacing w:before="200" w:after="200"/>
    </w:pPr>
    <w:rPr>
      <w:sz w:val="24"/>
      <w:szCs w:val="24"/>
    </w:rPr>
  </w:style>
  <w:style w:type="character" w:styleId="984">
    <w:name w:val="Subtitle Char"/>
    <w:link w:val="983"/>
    <w:uiPriority w:val="11"/>
    <w:rPr>
      <w:sz w:val="24"/>
      <w:szCs w:val="24"/>
    </w:rPr>
  </w:style>
  <w:style w:type="paragraph" w:styleId="985">
    <w:name w:val="Quote"/>
    <w:basedOn w:val="1139"/>
    <w:next w:val="1139"/>
    <w:link w:val="986"/>
    <w:uiPriority w:val="29"/>
    <w:qFormat/>
    <w:pPr>
      <w:ind w:left="720" w:right="720"/>
    </w:pPr>
    <w:rPr>
      <w:i/>
    </w:rPr>
  </w:style>
  <w:style w:type="character" w:styleId="986">
    <w:name w:val="Quote Char"/>
    <w:link w:val="985"/>
    <w:uiPriority w:val="29"/>
    <w:rPr>
      <w:i/>
    </w:rPr>
  </w:style>
  <w:style w:type="paragraph" w:styleId="987">
    <w:name w:val="Intense Quote"/>
    <w:basedOn w:val="1139"/>
    <w:next w:val="1139"/>
    <w:link w:val="98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88">
    <w:name w:val="Intense Quote Char"/>
    <w:link w:val="987"/>
    <w:uiPriority w:val="30"/>
    <w:rPr>
      <w:i/>
    </w:rPr>
  </w:style>
  <w:style w:type="paragraph" w:styleId="989">
    <w:name w:val="Header"/>
    <w:basedOn w:val="1139"/>
    <w:link w:val="9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990">
    <w:name w:val="Header Char"/>
    <w:link w:val="989"/>
    <w:uiPriority w:val="99"/>
  </w:style>
  <w:style w:type="paragraph" w:styleId="991">
    <w:name w:val="Footer"/>
    <w:basedOn w:val="1139"/>
    <w:link w:val="9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992">
    <w:name w:val="Footer Char"/>
    <w:link w:val="991"/>
    <w:uiPriority w:val="99"/>
  </w:style>
  <w:style w:type="paragraph" w:styleId="993">
    <w:name w:val="Caption"/>
    <w:basedOn w:val="1139"/>
    <w:next w:val="1139"/>
    <w:link w:val="99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94">
    <w:name w:val="Caption Char"/>
    <w:link w:val="993"/>
    <w:uiPriority w:val="35"/>
    <w:rPr>
      <w:b/>
      <w:bCs/>
      <w:color w:val="4f81bd" w:themeColor="accent1"/>
      <w:sz w:val="18"/>
      <w:szCs w:val="18"/>
    </w:rPr>
  </w:style>
  <w:style w:type="table" w:styleId="99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99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99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0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0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2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2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2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2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2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2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3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3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03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03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03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03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03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03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103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103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104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104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104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04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04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5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6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6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6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6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6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6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08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08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08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08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08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08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08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8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8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8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9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9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9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9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09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09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09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09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09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09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10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0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10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10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10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10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10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10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0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10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11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11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11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11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11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1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1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1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1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1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2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21">
    <w:name w:val="Hyperlink"/>
    <w:uiPriority w:val="99"/>
    <w:unhideWhenUsed/>
    <w:rPr>
      <w:color w:val="0000ff" w:themeColor="hyperlink"/>
      <w:u w:val="single"/>
    </w:rPr>
  </w:style>
  <w:style w:type="paragraph" w:styleId="1122">
    <w:name w:val="footnote text"/>
    <w:basedOn w:val="1139"/>
    <w:link w:val="1123"/>
    <w:uiPriority w:val="99"/>
    <w:semiHidden/>
    <w:unhideWhenUsed/>
    <w:pPr>
      <w:spacing w:after="40" w:line="240" w:lineRule="auto"/>
    </w:pPr>
    <w:rPr>
      <w:sz w:val="18"/>
    </w:rPr>
  </w:style>
  <w:style w:type="character" w:styleId="1123">
    <w:name w:val="Footnote Text Char"/>
    <w:link w:val="1122"/>
    <w:uiPriority w:val="99"/>
    <w:rPr>
      <w:sz w:val="18"/>
    </w:rPr>
  </w:style>
  <w:style w:type="character" w:styleId="1124">
    <w:name w:val="footnote reference"/>
    <w:uiPriority w:val="99"/>
    <w:unhideWhenUsed/>
    <w:rPr>
      <w:vertAlign w:val="superscript"/>
    </w:rPr>
  </w:style>
  <w:style w:type="paragraph" w:styleId="1125">
    <w:name w:val="endnote text"/>
    <w:basedOn w:val="1139"/>
    <w:link w:val="1126"/>
    <w:uiPriority w:val="99"/>
    <w:semiHidden/>
    <w:unhideWhenUsed/>
    <w:pPr>
      <w:spacing w:after="0" w:line="240" w:lineRule="auto"/>
    </w:pPr>
    <w:rPr>
      <w:sz w:val="20"/>
    </w:rPr>
  </w:style>
  <w:style w:type="character" w:styleId="1126">
    <w:name w:val="Endnote Text Char"/>
    <w:link w:val="1125"/>
    <w:uiPriority w:val="99"/>
    <w:rPr>
      <w:sz w:val="20"/>
    </w:rPr>
  </w:style>
  <w:style w:type="character" w:styleId="1127">
    <w:name w:val="endnote reference"/>
    <w:uiPriority w:val="99"/>
    <w:semiHidden/>
    <w:unhideWhenUsed/>
    <w:rPr>
      <w:vertAlign w:val="superscript"/>
    </w:rPr>
  </w:style>
  <w:style w:type="paragraph" w:styleId="1128">
    <w:name w:val="toc 1"/>
    <w:basedOn w:val="1139"/>
    <w:next w:val="1139"/>
    <w:uiPriority w:val="39"/>
    <w:unhideWhenUsed/>
    <w:pPr>
      <w:ind w:left="0" w:right="0" w:firstLine="0"/>
      <w:spacing w:after="57"/>
    </w:pPr>
  </w:style>
  <w:style w:type="paragraph" w:styleId="1129">
    <w:name w:val="toc 2"/>
    <w:basedOn w:val="1139"/>
    <w:next w:val="1139"/>
    <w:uiPriority w:val="39"/>
    <w:unhideWhenUsed/>
    <w:pPr>
      <w:ind w:left="283" w:right="0" w:firstLine="0"/>
      <w:spacing w:after="57"/>
    </w:pPr>
  </w:style>
  <w:style w:type="paragraph" w:styleId="1130">
    <w:name w:val="toc 3"/>
    <w:basedOn w:val="1139"/>
    <w:next w:val="1139"/>
    <w:uiPriority w:val="39"/>
    <w:unhideWhenUsed/>
    <w:pPr>
      <w:ind w:left="567" w:right="0" w:firstLine="0"/>
      <w:spacing w:after="57"/>
    </w:pPr>
  </w:style>
  <w:style w:type="paragraph" w:styleId="1131">
    <w:name w:val="toc 4"/>
    <w:basedOn w:val="1139"/>
    <w:next w:val="1139"/>
    <w:uiPriority w:val="39"/>
    <w:unhideWhenUsed/>
    <w:pPr>
      <w:ind w:left="850" w:right="0" w:firstLine="0"/>
      <w:spacing w:after="57"/>
    </w:pPr>
  </w:style>
  <w:style w:type="paragraph" w:styleId="1132">
    <w:name w:val="toc 5"/>
    <w:basedOn w:val="1139"/>
    <w:next w:val="1139"/>
    <w:uiPriority w:val="39"/>
    <w:unhideWhenUsed/>
    <w:pPr>
      <w:ind w:left="1134" w:right="0" w:firstLine="0"/>
      <w:spacing w:after="57"/>
    </w:pPr>
  </w:style>
  <w:style w:type="paragraph" w:styleId="1133">
    <w:name w:val="toc 6"/>
    <w:basedOn w:val="1139"/>
    <w:next w:val="1139"/>
    <w:uiPriority w:val="39"/>
    <w:unhideWhenUsed/>
    <w:pPr>
      <w:ind w:left="1417" w:right="0" w:firstLine="0"/>
      <w:spacing w:after="57"/>
    </w:pPr>
  </w:style>
  <w:style w:type="paragraph" w:styleId="1134">
    <w:name w:val="toc 7"/>
    <w:basedOn w:val="1139"/>
    <w:next w:val="1139"/>
    <w:uiPriority w:val="39"/>
    <w:unhideWhenUsed/>
    <w:pPr>
      <w:ind w:left="1701" w:right="0" w:firstLine="0"/>
      <w:spacing w:after="57"/>
    </w:pPr>
  </w:style>
  <w:style w:type="paragraph" w:styleId="1135">
    <w:name w:val="toc 8"/>
    <w:basedOn w:val="1139"/>
    <w:next w:val="1139"/>
    <w:uiPriority w:val="39"/>
    <w:unhideWhenUsed/>
    <w:pPr>
      <w:ind w:left="1984" w:right="0" w:firstLine="0"/>
      <w:spacing w:after="57"/>
    </w:pPr>
  </w:style>
  <w:style w:type="paragraph" w:styleId="1136">
    <w:name w:val="toc 9"/>
    <w:basedOn w:val="1139"/>
    <w:next w:val="1139"/>
    <w:uiPriority w:val="39"/>
    <w:unhideWhenUsed/>
    <w:pPr>
      <w:ind w:left="2268" w:right="0" w:firstLine="0"/>
      <w:spacing w:after="57"/>
    </w:pPr>
  </w:style>
  <w:style w:type="paragraph" w:styleId="1137">
    <w:name w:val="TOC Heading"/>
    <w:uiPriority w:val="39"/>
    <w:unhideWhenUsed/>
  </w:style>
  <w:style w:type="paragraph" w:styleId="1138">
    <w:name w:val="table of figures"/>
    <w:basedOn w:val="1139"/>
    <w:next w:val="1139"/>
    <w:uiPriority w:val="99"/>
    <w:unhideWhenUsed/>
    <w:pPr>
      <w:spacing w:after="0" w:afterAutospacing="0"/>
    </w:pPr>
  </w:style>
  <w:style w:type="paragraph" w:styleId="1139" w:default="1">
    <w:name w:val="Normal"/>
    <w:next w:val="1139"/>
    <w:link w:val="1139"/>
    <w:qFormat/>
    <w:rPr>
      <w:sz w:val="24"/>
      <w:szCs w:val="24"/>
      <w:lang w:val="ru-RU" w:eastAsia="ru-RU" w:bidi="ar-SA"/>
    </w:rPr>
  </w:style>
  <w:style w:type="paragraph" w:styleId="1140">
    <w:name w:val="Заголовок 2,H2,H2 Знак,Заголовок 21,2,h2,Б2,RTC,iz2,Numbered text 3,HD2,heading 2,Heading 2 Hidden,Раздел Знак"/>
    <w:basedOn w:val="1139"/>
    <w:next w:val="1139"/>
    <w:link w:val="1156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character" w:styleId="1141">
    <w:name w:val="Основной шрифт абзаца"/>
    <w:next w:val="1141"/>
    <w:link w:val="1139"/>
    <w:semiHidden/>
  </w:style>
  <w:style w:type="table" w:styleId="1142">
    <w:name w:val="Обычная таблица"/>
    <w:next w:val="1142"/>
    <w:link w:val="1139"/>
    <w:semiHidden/>
    <w:tblPr/>
  </w:style>
  <w:style w:type="numbering" w:styleId="1143">
    <w:name w:val="Нет списка"/>
    <w:next w:val="1143"/>
    <w:link w:val="1139"/>
    <w:semiHidden/>
  </w:style>
  <w:style w:type="paragraph" w:styleId="1144">
    <w:name w:val="Верхний колонтитул"/>
    <w:basedOn w:val="1139"/>
    <w:next w:val="1144"/>
    <w:link w:val="1145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1145">
    <w:name w:val="Верхний колонтитул Знак"/>
    <w:next w:val="1145"/>
    <w:link w:val="1144"/>
    <w:uiPriority w:val="99"/>
    <w:rPr>
      <w:sz w:val="24"/>
      <w:szCs w:val="24"/>
    </w:rPr>
  </w:style>
  <w:style w:type="paragraph" w:styleId="1146">
    <w:name w:val="Нижний колонтитул"/>
    <w:basedOn w:val="1139"/>
    <w:next w:val="1146"/>
    <w:link w:val="1147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1147">
    <w:name w:val="Нижний колонтитул Знак"/>
    <w:next w:val="1147"/>
    <w:link w:val="1146"/>
    <w:uiPriority w:val="99"/>
    <w:rPr>
      <w:sz w:val="24"/>
      <w:szCs w:val="24"/>
    </w:rPr>
  </w:style>
  <w:style w:type="paragraph" w:styleId="1148">
    <w:name w:val="Абзац списка"/>
    <w:basedOn w:val="1139"/>
    <w:next w:val="1148"/>
    <w:link w:val="1139"/>
    <w:uiPriority w:val="34"/>
    <w:qFormat/>
    <w:pPr>
      <w:ind w:left="720"/>
      <w:spacing w:before="100" w:beforeAutospacing="1" w:after="100" w:afterAutospacing="1"/>
    </w:pPr>
    <w:rPr>
      <w:rFonts w:eastAsia="Calibri"/>
    </w:rPr>
  </w:style>
  <w:style w:type="character" w:styleId="1149">
    <w:name w:val="Гиперссылка"/>
    <w:next w:val="1149"/>
    <w:link w:val="1139"/>
    <w:rPr>
      <w:color w:val="0000ff"/>
      <w:u w:val="single"/>
    </w:rPr>
  </w:style>
  <w:style w:type="paragraph" w:styleId="1150">
    <w:name w:val="Без интервала"/>
    <w:next w:val="1150"/>
    <w:link w:val="1139"/>
    <w:uiPriority w:val="1"/>
    <w:qFormat/>
    <w:pPr>
      <w:ind w:firstLine="567"/>
      <w:jc w:val="both"/>
    </w:pPr>
    <w:rPr>
      <w:sz w:val="28"/>
      <w:szCs w:val="28"/>
      <w:lang w:val="ru-RU" w:eastAsia="ru-RU" w:bidi="ar-SA"/>
    </w:rPr>
  </w:style>
  <w:style w:type="paragraph" w:styleId="1151">
    <w:name w:val="Default"/>
    <w:next w:val="1151"/>
    <w:link w:val="1139"/>
    <w:rPr>
      <w:color w:val="000000"/>
      <w:sz w:val="24"/>
      <w:szCs w:val="24"/>
      <w:lang w:val="ru-RU" w:eastAsia="ru-RU" w:bidi="ar-SA"/>
    </w:rPr>
  </w:style>
  <w:style w:type="paragraph" w:styleId="1152">
    <w:name w:val="3"/>
    <w:basedOn w:val="1139"/>
    <w:next w:val="1139"/>
    <w:link w:val="1139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  <w:lang w:val="en-US" w:eastAsia="en-US"/>
    </w:rPr>
  </w:style>
  <w:style w:type="paragraph" w:styleId="1153">
    <w:name w:val="Обычный (веб)"/>
    <w:basedOn w:val="1139"/>
    <w:next w:val="1153"/>
    <w:link w:val="1139"/>
    <w:uiPriority w:val="99"/>
    <w:unhideWhenUsed/>
    <w:pPr>
      <w:spacing w:before="100" w:beforeAutospacing="1" w:after="100" w:afterAutospacing="1"/>
    </w:pPr>
    <w:rPr>
      <w:rFonts w:eastAsia="Calibri"/>
    </w:rPr>
  </w:style>
  <w:style w:type="paragraph" w:styleId="1154">
    <w:name w:val="Текст выноски"/>
    <w:basedOn w:val="1139"/>
    <w:next w:val="1154"/>
    <w:link w:val="1155"/>
    <w:rPr>
      <w:rFonts w:ascii="Segoe UI" w:hAnsi="Segoe UI" w:cs="Segoe UI"/>
      <w:sz w:val="18"/>
      <w:szCs w:val="18"/>
    </w:rPr>
  </w:style>
  <w:style w:type="character" w:styleId="1155">
    <w:name w:val="Текст выноски Знак"/>
    <w:next w:val="1155"/>
    <w:link w:val="1154"/>
    <w:rPr>
      <w:rFonts w:ascii="Segoe UI" w:hAnsi="Segoe UI" w:cs="Segoe UI"/>
      <w:sz w:val="18"/>
      <w:szCs w:val="18"/>
    </w:rPr>
  </w:style>
  <w:style w:type="character" w:styleId="1156">
    <w:name w:val="Заголовок 2 Знак"/>
    <w:next w:val="1156"/>
    <w:link w:val="1140"/>
    <w:uiPriority w:val="9"/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1157">
    <w:name w:val="Пункт"/>
    <w:basedOn w:val="1139"/>
    <w:next w:val="1157"/>
    <w:link w:val="1164"/>
    <w:pPr>
      <w:ind w:left="1134" w:hanging="1134"/>
      <w:jc w:val="both"/>
      <w:spacing w:line="360" w:lineRule="auto"/>
      <w:tabs>
        <w:tab w:val="num" w:pos="1134" w:leader="none"/>
      </w:tabs>
    </w:pPr>
    <w:rPr>
      <w:sz w:val="28"/>
      <w:szCs w:val="20"/>
    </w:rPr>
  </w:style>
  <w:style w:type="character" w:styleId="1158">
    <w:name w:val="Заголовок Знак"/>
    <w:next w:val="1158"/>
    <w:link w:val="1139"/>
    <w:rPr>
      <w:rFonts w:ascii="Calibri Light" w:hAnsi="Calibri Light" w:eastAsia="Times New Roman" w:cs="Times New Roman"/>
      <w:b/>
      <w:bCs/>
      <w:sz w:val="32"/>
      <w:szCs w:val="32"/>
    </w:rPr>
  </w:style>
  <w:style w:type="paragraph" w:styleId="1159">
    <w:name w:val="Текст сноски"/>
    <w:basedOn w:val="1139"/>
    <w:next w:val="1159"/>
    <w:link w:val="1160"/>
    <w:uiPriority w:val="99"/>
    <w:unhideWhenUsed/>
    <w:pPr>
      <w:ind w:firstLine="567"/>
      <w:jc w:val="both"/>
    </w:pPr>
    <w:rPr>
      <w:sz w:val="22"/>
      <w:szCs w:val="20"/>
      <w:lang w:val="en-US" w:eastAsia="en-US"/>
    </w:rPr>
  </w:style>
  <w:style w:type="character" w:styleId="1160">
    <w:name w:val="Текст сноски Знак"/>
    <w:next w:val="1160"/>
    <w:link w:val="1159"/>
    <w:uiPriority w:val="99"/>
    <w:rPr>
      <w:sz w:val="22"/>
      <w:lang w:val="en-US" w:eastAsia="en-US"/>
    </w:rPr>
  </w:style>
  <w:style w:type="character" w:styleId="1161">
    <w:name w:val="Знак сноски"/>
    <w:next w:val="1161"/>
    <w:link w:val="1139"/>
    <w:uiPriority w:val="99"/>
    <w:unhideWhenUsed/>
    <w:rPr>
      <w:rFonts w:ascii="Times New Roman" w:hAnsi="Times New Roman"/>
      <w:vertAlign w:val="superscript"/>
    </w:rPr>
  </w:style>
  <w:style w:type="character" w:styleId="1162">
    <w:name w:val="Заголовок №1_"/>
    <w:next w:val="1162"/>
    <w:link w:val="1163"/>
    <w:rPr>
      <w:b/>
      <w:bCs/>
      <w:sz w:val="16"/>
      <w:szCs w:val="16"/>
      <w:shd w:val="clear" w:color="auto" w:fill="ffffff"/>
    </w:rPr>
  </w:style>
  <w:style w:type="paragraph" w:styleId="1163">
    <w:name w:val="Заголовок №1"/>
    <w:basedOn w:val="1139"/>
    <w:next w:val="1163"/>
    <w:link w:val="1162"/>
    <w:pPr>
      <w:spacing w:line="206" w:lineRule="exact"/>
      <w:shd w:val="clear" w:color="auto" w:fill="ffffff"/>
      <w:widowControl w:val="off"/>
      <w:outlineLvl w:val="0"/>
    </w:pPr>
    <w:rPr>
      <w:b/>
      <w:bCs/>
      <w:sz w:val="16"/>
      <w:szCs w:val="16"/>
    </w:rPr>
  </w:style>
  <w:style w:type="character" w:styleId="1164">
    <w:name w:val="Пункт Знак1"/>
    <w:next w:val="1164"/>
    <w:link w:val="1157"/>
    <w:rPr>
      <w:sz w:val="28"/>
    </w:rPr>
  </w:style>
  <w:style w:type="character" w:styleId="1165" w:default="1">
    <w:name w:val="Default Paragraph Font"/>
    <w:uiPriority w:val="1"/>
    <w:semiHidden/>
    <w:unhideWhenUsed/>
  </w:style>
  <w:style w:type="numbering" w:styleId="1166" w:default="1">
    <w:name w:val="No List"/>
    <w:uiPriority w:val="99"/>
    <w:semiHidden/>
    <w:unhideWhenUsed/>
  </w:style>
  <w:style w:type="table" w:styleId="116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TopS BI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tsvetkova-oe</cp:lastModifiedBy>
  <cp:revision>22</cp:revision>
  <dcterms:created xsi:type="dcterms:W3CDTF">2025-06-10T11:02:00Z</dcterms:created>
  <dcterms:modified xsi:type="dcterms:W3CDTF">2026-08-10T09:58:16Z</dcterms:modified>
  <cp:version>1048576</cp:version>
</cp:coreProperties>
</file>